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AA" w:rsidRDefault="00AB5FB6" w:rsidP="001215BB">
      <w:pPr>
        <w:spacing w:line="480" w:lineRule="auto"/>
        <w:jc w:val="center"/>
        <w:rPr>
          <w:b/>
          <w:sz w:val="26"/>
          <w:szCs w:val="26"/>
        </w:rPr>
      </w:pPr>
      <w:r w:rsidRPr="005F3A9B">
        <w:rPr>
          <w:b/>
          <w:sz w:val="26"/>
          <w:szCs w:val="26"/>
        </w:rPr>
        <w:t>One Step Forward an</w:t>
      </w:r>
      <w:bookmarkStart w:id="0" w:name="_GoBack"/>
      <w:bookmarkEnd w:id="0"/>
      <w:r w:rsidRPr="005F3A9B">
        <w:rPr>
          <w:b/>
          <w:sz w:val="26"/>
          <w:szCs w:val="26"/>
        </w:rPr>
        <w:t>d Two Steps Back</w:t>
      </w:r>
      <w:r w:rsidR="00C16EAA">
        <w:rPr>
          <w:b/>
          <w:sz w:val="26"/>
          <w:szCs w:val="26"/>
        </w:rPr>
        <w:t xml:space="preserve">: </w:t>
      </w:r>
    </w:p>
    <w:p w:rsidR="001215BB" w:rsidRPr="005F3A9B" w:rsidRDefault="00C16EAA" w:rsidP="001215BB">
      <w:pPr>
        <w:spacing w:line="480" w:lineRule="auto"/>
        <w:jc w:val="center"/>
        <w:rPr>
          <w:b/>
          <w:sz w:val="26"/>
          <w:szCs w:val="26"/>
        </w:rPr>
      </w:pPr>
      <w:r>
        <w:rPr>
          <w:b/>
          <w:sz w:val="26"/>
          <w:szCs w:val="26"/>
        </w:rPr>
        <w:t xml:space="preserve">Poverty, the </w:t>
      </w:r>
      <w:r w:rsidRPr="00C16EAA">
        <w:rPr>
          <w:b/>
          <w:i/>
          <w:sz w:val="26"/>
          <w:szCs w:val="26"/>
        </w:rPr>
        <w:t>Charter</w:t>
      </w:r>
      <w:r>
        <w:rPr>
          <w:b/>
          <w:sz w:val="26"/>
          <w:szCs w:val="26"/>
        </w:rPr>
        <w:t xml:space="preserve"> and t</w:t>
      </w:r>
      <w:r w:rsidR="009720C2" w:rsidRPr="005F3A9B">
        <w:rPr>
          <w:b/>
          <w:sz w:val="26"/>
          <w:szCs w:val="26"/>
        </w:rPr>
        <w:t xml:space="preserve">he </w:t>
      </w:r>
      <w:r w:rsidR="001215BB" w:rsidRPr="005F3A9B">
        <w:rPr>
          <w:b/>
          <w:sz w:val="26"/>
          <w:szCs w:val="26"/>
        </w:rPr>
        <w:t xml:space="preserve">Legacy of </w:t>
      </w:r>
      <w:r w:rsidR="001215BB" w:rsidRPr="005F3A9B">
        <w:rPr>
          <w:b/>
          <w:i/>
          <w:sz w:val="26"/>
          <w:szCs w:val="26"/>
        </w:rPr>
        <w:t>Gosselin</w:t>
      </w:r>
    </w:p>
    <w:p w:rsidR="001215BB" w:rsidRDefault="001215BB" w:rsidP="00C73F0F">
      <w:pPr>
        <w:spacing w:line="480" w:lineRule="auto"/>
        <w:jc w:val="center"/>
      </w:pPr>
      <w:r>
        <w:t>Martha Jackman</w:t>
      </w:r>
      <w:r w:rsidR="00DA4347">
        <w:t>*</w:t>
      </w:r>
      <w:r w:rsidR="00C73F0F">
        <w:t xml:space="preserve"> </w:t>
      </w:r>
    </w:p>
    <w:p w:rsidR="007D4ADB" w:rsidRDefault="007D4ADB" w:rsidP="00C73F0F">
      <w:pPr>
        <w:spacing w:line="480" w:lineRule="auto"/>
        <w:jc w:val="center"/>
      </w:pPr>
      <w:r>
        <w:t xml:space="preserve">Forthcoming: </w:t>
      </w:r>
      <w:r w:rsidRPr="007D4ADB">
        <w:t>(2019) 39 National Journal of Constitutional Law</w:t>
      </w:r>
    </w:p>
    <w:p w:rsidR="007D4ADB" w:rsidRDefault="007D4ADB" w:rsidP="00C73F0F">
      <w:pPr>
        <w:spacing w:line="480" w:lineRule="auto"/>
        <w:jc w:val="center"/>
      </w:pPr>
    </w:p>
    <w:p w:rsidR="003B4242" w:rsidRDefault="00DA4347" w:rsidP="001A2141">
      <w:pPr>
        <w:spacing w:line="480" w:lineRule="auto"/>
        <w:jc w:val="center"/>
      </w:pPr>
      <w:r>
        <w:t>(*Professor, Faculty of Law, University of Ottawa</w:t>
      </w:r>
      <w:r w:rsidR="001A2141">
        <w:t>.</w:t>
      </w:r>
      <w:r w:rsidR="00C73F0F">
        <w:t xml:space="preserve">  </w:t>
      </w:r>
      <w:r w:rsidR="00C73F0F" w:rsidRPr="00C73F0F">
        <w:t xml:space="preserve">The author thanks </w:t>
      </w:r>
      <w:r w:rsidR="00C73F0F">
        <w:t xml:space="preserve">Cheryl Milne for her invitation to present this paper and </w:t>
      </w:r>
      <w:r w:rsidR="00C73F0F" w:rsidRPr="00C73F0F">
        <w:t xml:space="preserve">Vince Calderhead, Bruce Porter and Kerri Froc for their helpful </w:t>
      </w:r>
      <w:r w:rsidR="00D13CF4">
        <w:t xml:space="preserve">comments and </w:t>
      </w:r>
      <w:r w:rsidR="00C73F0F" w:rsidRPr="00C73F0F">
        <w:t>suggestions.</w:t>
      </w:r>
      <w:r>
        <w:t>)</w:t>
      </w:r>
    </w:p>
    <w:p w:rsidR="003244C5" w:rsidRDefault="003244C5" w:rsidP="001A2141">
      <w:pPr>
        <w:spacing w:line="480" w:lineRule="auto"/>
        <w:jc w:val="center"/>
      </w:pPr>
    </w:p>
    <w:p w:rsidR="008806A3" w:rsidRPr="003244C5" w:rsidRDefault="003244C5" w:rsidP="001A2141">
      <w:pPr>
        <w:spacing w:line="480" w:lineRule="auto"/>
        <w:jc w:val="center"/>
        <w:rPr>
          <w:b/>
        </w:rPr>
      </w:pPr>
      <w:r w:rsidRPr="003244C5">
        <w:rPr>
          <w:b/>
        </w:rPr>
        <w:t>ABSTRACT</w:t>
      </w:r>
    </w:p>
    <w:p w:rsidR="00C8687F" w:rsidRDefault="003244C5" w:rsidP="003244C5">
      <w:pPr>
        <w:spacing w:line="480" w:lineRule="auto"/>
      </w:pPr>
      <w:r>
        <w:t xml:space="preserve">In 2002, the Supreme Court of Canada dismissed </w:t>
      </w:r>
      <w:r w:rsidR="00E866E3">
        <w:t>Louise</w:t>
      </w:r>
      <w:r>
        <w:t xml:space="preserve"> Gosselin’s </w:t>
      </w:r>
      <w:r w:rsidR="004D1326">
        <w:rPr>
          <w:i/>
        </w:rPr>
        <w:t xml:space="preserve">Charter </w:t>
      </w:r>
      <w:r w:rsidR="00E866E3">
        <w:t xml:space="preserve">challenge to a </w:t>
      </w:r>
      <w:r w:rsidR="005D5A1C">
        <w:t>Québec</w:t>
      </w:r>
      <w:r w:rsidR="00E866E3">
        <w:t xml:space="preserve"> </w:t>
      </w:r>
      <w:r w:rsidR="00B12C01">
        <w:t xml:space="preserve">welfare </w:t>
      </w:r>
      <w:r w:rsidR="00E866E3">
        <w:t xml:space="preserve">regulation </w:t>
      </w:r>
      <w:r w:rsidR="00B12C01">
        <w:t xml:space="preserve">that reduced </w:t>
      </w:r>
      <w:r w:rsidR="00E866E3">
        <w:t xml:space="preserve">benefits for </w:t>
      </w:r>
      <w:r w:rsidR="00B12C01">
        <w:t>those under</w:t>
      </w:r>
      <w:r w:rsidR="00551F9A">
        <w:t>-</w:t>
      </w:r>
      <w:r w:rsidR="00B12C01">
        <w:t>30</w:t>
      </w:r>
      <w:r w:rsidR="00E70421">
        <w:t xml:space="preserve"> by two-thirds, forcing them to choose between hunger and homelessness</w:t>
      </w:r>
      <w:r>
        <w:t>.  The paper examines the legacy of</w:t>
      </w:r>
      <w:r w:rsidR="00B12C01">
        <w:t xml:space="preserve"> </w:t>
      </w:r>
      <w:r w:rsidRPr="003244C5">
        <w:rPr>
          <w:i/>
        </w:rPr>
        <w:t>Gosselin</w:t>
      </w:r>
      <w:r>
        <w:t xml:space="preserve"> </w:t>
      </w:r>
      <w:r w:rsidR="005459BD">
        <w:t>f</w:t>
      </w:r>
      <w:r>
        <w:t xml:space="preserve">or the </w:t>
      </w:r>
      <w:r w:rsidR="005459BD">
        <w:t xml:space="preserve">rights and constitutional inclusion of </w:t>
      </w:r>
      <w:r>
        <w:t xml:space="preserve">people living in poverty.  </w:t>
      </w:r>
      <w:r w:rsidR="00C8687F">
        <w:t>It</w:t>
      </w:r>
      <w:r w:rsidR="00703E97">
        <w:t xml:space="preserve"> </w:t>
      </w:r>
      <w:r w:rsidR="00932868">
        <w:t>first consider</w:t>
      </w:r>
      <w:r w:rsidR="00B12C01">
        <w:t xml:space="preserve">s </w:t>
      </w:r>
      <w:r>
        <w:t xml:space="preserve">the </w:t>
      </w:r>
      <w:r w:rsidR="00B12C01">
        <w:t xml:space="preserve">important </w:t>
      </w:r>
      <w:r w:rsidR="005459BD">
        <w:t xml:space="preserve">jurisprudential </w:t>
      </w:r>
      <w:r>
        <w:t>step forward in</w:t>
      </w:r>
      <w:r w:rsidR="0062364B">
        <w:t xml:space="preserve"> the case: </w:t>
      </w:r>
      <w:r w:rsidR="005459BD">
        <w:t>the Supreme Court’s</w:t>
      </w:r>
      <w:r w:rsidR="00932868">
        <w:t xml:space="preserve"> </w:t>
      </w:r>
      <w:r>
        <w:t>rejection of the argument</w:t>
      </w:r>
      <w:r w:rsidR="00001126">
        <w:t xml:space="preserve">, at odds with the expectations of disadvantaged groups and </w:t>
      </w:r>
      <w:r w:rsidR="0052465F">
        <w:t xml:space="preserve">with </w:t>
      </w:r>
      <w:r w:rsidR="00001126">
        <w:t>Canada’s international socio-economic rights obligations,</w:t>
      </w:r>
      <w:r>
        <w:t xml:space="preserve"> that section 7 </w:t>
      </w:r>
      <w:r w:rsidR="0052465F">
        <w:t>can</w:t>
      </w:r>
      <w:r w:rsidR="00001126">
        <w:t xml:space="preserve">not </w:t>
      </w:r>
      <w:r>
        <w:t>impose positive obligations on governments</w:t>
      </w:r>
      <w:r w:rsidR="00E866E3" w:rsidRPr="00E866E3">
        <w:t xml:space="preserve">.  </w:t>
      </w:r>
      <w:r w:rsidR="0052465F">
        <w:t>The paper</w:t>
      </w:r>
      <w:r>
        <w:t xml:space="preserve"> then </w:t>
      </w:r>
      <w:r w:rsidR="00DB7B05">
        <w:t>consider</w:t>
      </w:r>
      <w:r>
        <w:t>s the Court’s two steps back</w:t>
      </w:r>
      <w:r w:rsidR="00001126">
        <w:t xml:space="preserve"> in the </w:t>
      </w:r>
      <w:r w:rsidR="0052465F" w:rsidRPr="0052465F">
        <w:rPr>
          <w:i/>
        </w:rPr>
        <w:t>Gosselin</w:t>
      </w:r>
      <w:r w:rsidR="0052465F">
        <w:t xml:space="preserve"> </w:t>
      </w:r>
      <w:r w:rsidR="00001126">
        <w:t>case</w:t>
      </w:r>
      <w:r>
        <w:t>: the majority’s approach to the evidence and its treatment of Louise Gosselin’s substantive argument.</w:t>
      </w:r>
      <w:r w:rsidR="00C8687F">
        <w:t xml:space="preserve">  </w:t>
      </w:r>
      <w:r w:rsidR="004D1326">
        <w:t xml:space="preserve">The paper argues that </w:t>
      </w:r>
      <w:r w:rsidR="009B7F47" w:rsidRPr="009B7F47">
        <w:rPr>
          <w:i/>
        </w:rPr>
        <w:t>Charter</w:t>
      </w:r>
      <w:r w:rsidR="009B7F47">
        <w:t xml:space="preserve"> claimants in poverty cases </w:t>
      </w:r>
      <w:r w:rsidR="0062364B">
        <w:t xml:space="preserve">continue to face </w:t>
      </w:r>
      <w:r w:rsidR="001C05B6">
        <w:t xml:space="preserve">prejudicial stereotypes and disproportionate </w:t>
      </w:r>
      <w:r w:rsidR="00C8687F" w:rsidRPr="00C8687F">
        <w:t>evidentiary burden</w:t>
      </w:r>
      <w:r w:rsidR="0062364B">
        <w:t>s</w:t>
      </w:r>
      <w:r w:rsidR="00001126">
        <w:t>.  T</w:t>
      </w:r>
      <w:r w:rsidR="009B7F47">
        <w:t xml:space="preserve">heir </w:t>
      </w:r>
      <w:r w:rsidR="001C05B6">
        <w:t xml:space="preserve">section 7 </w:t>
      </w:r>
      <w:r w:rsidR="00C8687F" w:rsidRPr="00C8687F">
        <w:t xml:space="preserve">claims </w:t>
      </w:r>
      <w:r w:rsidR="00001126">
        <w:t>are also consistently reframed by the courts</w:t>
      </w:r>
      <w:r w:rsidR="0052465F">
        <w:t xml:space="preserve"> </w:t>
      </w:r>
      <w:r w:rsidR="001C05B6">
        <w:t xml:space="preserve">and then found to be </w:t>
      </w:r>
      <w:r w:rsidR="00CE5ED3">
        <w:t>non-justiciable</w:t>
      </w:r>
      <w:r w:rsidR="00E866E3">
        <w:t xml:space="preserve">.  The paper concludes that the Supreme Court’s </w:t>
      </w:r>
      <w:r w:rsidR="00A726A1">
        <w:t xml:space="preserve">failure </w:t>
      </w:r>
      <w:r w:rsidR="00E866E3">
        <w:t xml:space="preserve">to revisit </w:t>
      </w:r>
      <w:r w:rsidR="00E866E3" w:rsidRPr="00B12C01">
        <w:rPr>
          <w:i/>
        </w:rPr>
        <w:t>Gosselin</w:t>
      </w:r>
      <w:r w:rsidR="00E866E3">
        <w:t xml:space="preserve">, </w:t>
      </w:r>
      <w:r w:rsidR="00551F9A">
        <w:t xml:space="preserve">or even </w:t>
      </w:r>
      <w:r w:rsidR="00E866E3">
        <w:t xml:space="preserve">to grant leave to appeal in </w:t>
      </w:r>
      <w:r w:rsidR="00551F9A">
        <w:t xml:space="preserve">any </w:t>
      </w:r>
      <w:r w:rsidR="00E866E3">
        <w:t>poverty</w:t>
      </w:r>
      <w:r w:rsidR="009B7F47">
        <w:t xml:space="preserve"> </w:t>
      </w:r>
      <w:r w:rsidR="00E866E3">
        <w:t xml:space="preserve">case </w:t>
      </w:r>
      <w:r w:rsidR="00DB7B05">
        <w:t>sinc</w:t>
      </w:r>
      <w:r w:rsidR="00001126">
        <w:t>e</w:t>
      </w:r>
      <w:r w:rsidR="0052465F">
        <w:t xml:space="preserve"> then</w:t>
      </w:r>
      <w:r w:rsidR="00001126">
        <w:t xml:space="preserve">, </w:t>
      </w:r>
      <w:r w:rsidR="00E70421">
        <w:t>represents a serious failure of constitutionalism in Canada</w:t>
      </w:r>
      <w:r w:rsidR="00932868">
        <w:t>.</w:t>
      </w:r>
    </w:p>
    <w:p w:rsidR="00DA4ACC" w:rsidRDefault="00DA4ACC" w:rsidP="00DA4ACC">
      <w:pPr>
        <w:spacing w:line="240" w:lineRule="auto"/>
        <w:ind w:right="567"/>
      </w:pPr>
    </w:p>
    <w:p w:rsidR="00DA4ACC" w:rsidRPr="001C7421" w:rsidRDefault="00DA4ACC" w:rsidP="001C7421">
      <w:pPr>
        <w:pStyle w:val="Paragraphedeliste"/>
        <w:numPr>
          <w:ilvl w:val="0"/>
          <w:numId w:val="11"/>
        </w:numPr>
        <w:spacing w:line="240" w:lineRule="auto"/>
        <w:ind w:right="567"/>
        <w:rPr>
          <w:b/>
        </w:rPr>
      </w:pPr>
      <w:r w:rsidRPr="001C7421">
        <w:rPr>
          <w:b/>
        </w:rPr>
        <w:t>I</w:t>
      </w:r>
      <w:r w:rsidR="001C7421" w:rsidRPr="001C7421">
        <w:rPr>
          <w:b/>
        </w:rPr>
        <w:t>NTRODUCTION</w:t>
      </w:r>
    </w:p>
    <w:p w:rsidR="00DA4ACC" w:rsidRDefault="00DA4ACC" w:rsidP="00DA4ACC">
      <w:pPr>
        <w:pStyle w:val="Paragraphedeliste"/>
        <w:spacing w:line="240" w:lineRule="auto"/>
        <w:ind w:right="567"/>
      </w:pPr>
    </w:p>
    <w:p w:rsidR="0070169E" w:rsidRDefault="001215BB" w:rsidP="004B4249">
      <w:pPr>
        <w:spacing w:line="480" w:lineRule="auto"/>
        <w:ind w:firstLine="720"/>
      </w:pPr>
      <w:r w:rsidRPr="001215BB">
        <w:t xml:space="preserve">In his 1989 judgment </w:t>
      </w:r>
      <w:r w:rsidR="00EA6D58">
        <w:t xml:space="preserve">for a unanimous Court </w:t>
      </w:r>
      <w:r w:rsidRPr="001215BB">
        <w:t xml:space="preserve">in </w:t>
      </w:r>
      <w:r w:rsidRPr="001215BB">
        <w:rPr>
          <w:i/>
        </w:rPr>
        <w:t>Irwin Toy</w:t>
      </w:r>
      <w:r w:rsidR="00DA4347">
        <w:rPr>
          <w:i/>
        </w:rPr>
        <w:t xml:space="preserve"> Ltd.</w:t>
      </w:r>
      <w:r w:rsidRPr="001215BB">
        <w:rPr>
          <w:i/>
        </w:rPr>
        <w:t xml:space="preserve"> v </w:t>
      </w:r>
      <w:r w:rsidR="005D5A1C">
        <w:rPr>
          <w:i/>
        </w:rPr>
        <w:t>Québec</w:t>
      </w:r>
      <w:r w:rsidR="00DA4347">
        <w:rPr>
          <w:i/>
        </w:rPr>
        <w:t xml:space="preserve"> (Attorney General)</w:t>
      </w:r>
      <w:r w:rsidR="00DA4347">
        <w:t>,</w:t>
      </w:r>
      <w:bookmarkStart w:id="1" w:name="_Ref465787286"/>
      <w:r w:rsidR="00DA4347" w:rsidRPr="005104BC">
        <w:rPr>
          <w:vertAlign w:val="superscript"/>
        </w:rPr>
        <w:footnoteReference w:id="1"/>
      </w:r>
      <w:bookmarkEnd w:id="1"/>
      <w:r w:rsidR="00DA4347" w:rsidRPr="001215BB">
        <w:t xml:space="preserve"> </w:t>
      </w:r>
      <w:r w:rsidR="009720C2">
        <w:t xml:space="preserve">former </w:t>
      </w:r>
      <w:r w:rsidRPr="001215BB">
        <w:t xml:space="preserve">Chief Justice </w:t>
      </w:r>
      <w:r w:rsidR="00E206CF">
        <w:t xml:space="preserve">Brian </w:t>
      </w:r>
      <w:r w:rsidRPr="001215BB">
        <w:t xml:space="preserve">Dickson </w:t>
      </w:r>
      <w:r w:rsidR="00F23AA6">
        <w:t>concluded that</w:t>
      </w:r>
      <w:r w:rsidR="00EB3218">
        <w:t xml:space="preserve"> the </w:t>
      </w:r>
      <w:r w:rsidR="007774B9">
        <w:t xml:space="preserve">intentional </w:t>
      </w:r>
      <w:r w:rsidR="00EB3218">
        <w:t xml:space="preserve">exclusion of property rights </w:t>
      </w:r>
      <w:r w:rsidR="007774B9">
        <w:t xml:space="preserve">from section 7 of the </w:t>
      </w:r>
      <w:r w:rsidR="007774B9" w:rsidRPr="00800613">
        <w:rPr>
          <w:i/>
        </w:rPr>
        <w:t>Canadian Charter of Rights and Freedoms</w:t>
      </w:r>
      <w:r w:rsidR="007774B9" w:rsidRPr="005104BC">
        <w:rPr>
          <w:vertAlign w:val="superscript"/>
        </w:rPr>
        <w:footnoteReference w:id="2"/>
      </w:r>
      <w:r w:rsidR="007774B9">
        <w:rPr>
          <w:i/>
        </w:rPr>
        <w:t xml:space="preserve"> </w:t>
      </w:r>
      <w:r w:rsidR="00EB3218">
        <w:t xml:space="preserve">meant that </w:t>
      </w:r>
      <w:r w:rsidR="00CB53FE">
        <w:t xml:space="preserve">“corporate-commercial economic rights” were </w:t>
      </w:r>
      <w:r w:rsidR="000F76CD">
        <w:t>not protected</w:t>
      </w:r>
      <w:r w:rsidR="007774B9">
        <w:t>.</w:t>
      </w:r>
      <w:r w:rsidR="00EB3218">
        <w:t xml:space="preserve">  </w:t>
      </w:r>
      <w:r w:rsidR="007774B9">
        <w:t xml:space="preserve">He </w:t>
      </w:r>
      <w:r w:rsidR="00EB3218">
        <w:t xml:space="preserve">went on </w:t>
      </w:r>
      <w:r w:rsidR="007774B9">
        <w:t xml:space="preserve">to affirm, however, </w:t>
      </w:r>
      <w:r w:rsidR="00EB3218">
        <w:t xml:space="preserve">that </w:t>
      </w:r>
      <w:r w:rsidR="007774B9">
        <w:t>section 7</w:t>
      </w:r>
      <w:r w:rsidR="008813ED">
        <w:t>’s</w:t>
      </w:r>
      <w:r w:rsidR="007774B9">
        <w:t xml:space="preserve"> guarantee of security of the person could be read to include </w:t>
      </w:r>
      <w:r w:rsidR="00F058C7">
        <w:t>“economic rights fundamental to human life or survival</w:t>
      </w:r>
      <w:r w:rsidR="007774B9">
        <w:t>.</w:t>
      </w:r>
      <w:r w:rsidR="000F1A6A">
        <w:t>”</w:t>
      </w:r>
      <w:r w:rsidR="005061EF" w:rsidRPr="005104BC">
        <w:rPr>
          <w:vertAlign w:val="superscript"/>
        </w:rPr>
        <w:footnoteReference w:id="3"/>
      </w:r>
      <w:r w:rsidR="000F1A6A">
        <w:t xml:space="preserve"> </w:t>
      </w:r>
      <w:r w:rsidR="00590C54">
        <w:t>As Chief Justice Dickson</w:t>
      </w:r>
      <w:r w:rsidR="00584C5E">
        <w:t xml:space="preserve"> explained:</w:t>
      </w:r>
    </w:p>
    <w:p w:rsidR="00403DC0" w:rsidRDefault="0070169E" w:rsidP="00584C5E">
      <w:pPr>
        <w:spacing w:line="240" w:lineRule="auto"/>
        <w:ind w:left="567" w:right="567"/>
      </w:pPr>
      <w:r>
        <w:t>Lower courts have found that the rubric of ‘ec</w:t>
      </w:r>
      <w:r w:rsidR="00B63CDA">
        <w:t xml:space="preserve">onomic rights’ embraces a broad </w:t>
      </w:r>
      <w:r>
        <w:t xml:space="preserve">spectrum of interests, ranging from such rights included in international covenants, as rights to social security, equal pay for equal work, adequate food, clothing and shelter, to traditional property rights.  To exclude all of these at this early moment in the history of </w:t>
      </w:r>
      <w:r w:rsidRPr="00F4325B">
        <w:rPr>
          <w:i/>
        </w:rPr>
        <w:t>Charter</w:t>
      </w:r>
      <w:r>
        <w:t xml:space="preserve"> interpretation </w:t>
      </w:r>
      <w:r w:rsidR="00F058C7">
        <w:t>seems to us to be precipitous</w:t>
      </w:r>
      <w:r w:rsidR="001215BB" w:rsidRPr="001215BB">
        <w:t>.</w:t>
      </w:r>
      <w:bookmarkStart w:id="2" w:name="_Ref465704772"/>
      <w:r w:rsidR="00ED2E1F" w:rsidRPr="005104BC">
        <w:rPr>
          <w:vertAlign w:val="superscript"/>
        </w:rPr>
        <w:footnoteReference w:id="4"/>
      </w:r>
      <w:bookmarkEnd w:id="2"/>
    </w:p>
    <w:p w:rsidR="006E4522" w:rsidRDefault="001215BB" w:rsidP="00DC74B4">
      <w:pPr>
        <w:spacing w:line="240" w:lineRule="auto"/>
        <w:ind w:left="567" w:right="567"/>
      </w:pPr>
      <w:r w:rsidRPr="001215BB">
        <w:t xml:space="preserve">  </w:t>
      </w:r>
    </w:p>
    <w:p w:rsidR="00BB77A9" w:rsidRDefault="00400E76" w:rsidP="005F4D03">
      <w:pPr>
        <w:spacing w:line="480" w:lineRule="auto"/>
        <w:ind w:firstLine="567"/>
      </w:pPr>
      <w:r>
        <w:t xml:space="preserve">In the late 1980s, </w:t>
      </w:r>
      <w:r w:rsidR="00EA6D58">
        <w:t>Louise Gosselin</w:t>
      </w:r>
      <w:r w:rsidR="00997BA8">
        <w:t xml:space="preserve"> launched su</w:t>
      </w:r>
      <w:r w:rsidR="005E7993">
        <w:t>ch a socio-economic rights c</w:t>
      </w:r>
      <w:r w:rsidR="001A25A2">
        <w:t xml:space="preserve">hallenge, </w:t>
      </w:r>
      <w:r w:rsidR="00DC74B4">
        <w:t xml:space="preserve">to </w:t>
      </w:r>
      <w:r w:rsidR="006D53E5">
        <w:t>a</w:t>
      </w:r>
      <w:r w:rsidR="001A25A2">
        <w:t xml:space="preserve"> </w:t>
      </w:r>
      <w:r w:rsidR="00DC74B4">
        <w:t>welfare</w:t>
      </w:r>
      <w:r w:rsidR="006D53E5">
        <w:t xml:space="preserve"> </w:t>
      </w:r>
      <w:r w:rsidR="001215BB">
        <w:t>regulation</w:t>
      </w:r>
      <w:r w:rsidR="001215BB" w:rsidRPr="001215BB">
        <w:t xml:space="preserve"> </w:t>
      </w:r>
      <w:r w:rsidR="00D13CF4">
        <w:t xml:space="preserve">in </w:t>
      </w:r>
      <w:r w:rsidR="005D5A1C">
        <w:t>Québec</w:t>
      </w:r>
      <w:r w:rsidR="00D13CF4">
        <w:t xml:space="preserve"> </w:t>
      </w:r>
      <w:r w:rsidR="001A25A2">
        <w:t xml:space="preserve">that </w:t>
      </w:r>
      <w:r w:rsidR="00466C1A">
        <w:t xml:space="preserve">reduced benefits for </w:t>
      </w:r>
      <w:r w:rsidR="00DC74B4">
        <w:t xml:space="preserve">recipients </w:t>
      </w:r>
      <w:r w:rsidR="00466C1A">
        <w:t>under the age of thirty</w:t>
      </w:r>
      <w:r w:rsidR="008733A6">
        <w:t xml:space="preserve"> to one-third </w:t>
      </w:r>
      <w:r w:rsidR="00DC74B4">
        <w:t xml:space="preserve">the </w:t>
      </w:r>
      <w:r w:rsidR="008733A6">
        <w:t>amount</w:t>
      </w:r>
      <w:r w:rsidR="00D22EFC">
        <w:t xml:space="preserve"> </w:t>
      </w:r>
      <w:r w:rsidR="00DC74B4">
        <w:t xml:space="preserve">the </w:t>
      </w:r>
      <w:r w:rsidR="001A3B24">
        <w:t>government</w:t>
      </w:r>
      <w:r w:rsidR="00DC74B4">
        <w:t xml:space="preserve"> had determined was required to meet basic needs.</w:t>
      </w:r>
      <w:r w:rsidR="001A3B24" w:rsidRPr="005061EF">
        <w:rPr>
          <w:vertAlign w:val="superscript"/>
        </w:rPr>
        <w:footnoteReference w:id="5"/>
      </w:r>
      <w:r w:rsidR="00DC74B4">
        <w:t xml:space="preserve">  Ms. Gosselin argued the regulation </w:t>
      </w:r>
      <w:r w:rsidR="009720C2">
        <w:t xml:space="preserve">was not only age-discriminatory, but </w:t>
      </w:r>
      <w:r w:rsidR="005E7993">
        <w:t xml:space="preserve">violated </w:t>
      </w:r>
      <w:r w:rsidR="005D5A1C">
        <w:t>Québec</w:t>
      </w:r>
      <w:r w:rsidR="003E424A">
        <w:t xml:space="preserve"> and Canadian </w:t>
      </w:r>
      <w:r w:rsidR="003E424A" w:rsidRPr="003E424A">
        <w:rPr>
          <w:i/>
        </w:rPr>
        <w:t>Charter</w:t>
      </w:r>
      <w:r w:rsidR="003E424A">
        <w:t xml:space="preserve"> guarantees of </w:t>
      </w:r>
      <w:r w:rsidR="005E7993">
        <w:t>security of the person.</w:t>
      </w:r>
      <w:r w:rsidR="003E424A" w:rsidRPr="00682149">
        <w:rPr>
          <w:vertAlign w:val="superscript"/>
        </w:rPr>
        <w:footnoteReference w:id="6"/>
      </w:r>
      <w:r w:rsidR="005E7993">
        <w:t xml:space="preserve"> </w:t>
      </w:r>
      <w:r w:rsidR="00E573B7">
        <w:t xml:space="preserve"> </w:t>
      </w:r>
      <w:r w:rsidR="00997BA8">
        <w:t xml:space="preserve">Ten years later, </w:t>
      </w:r>
      <w:r w:rsidR="009A41FE">
        <w:t xml:space="preserve">in </w:t>
      </w:r>
      <w:r w:rsidR="009A41FE" w:rsidRPr="001215BB">
        <w:rPr>
          <w:i/>
        </w:rPr>
        <w:t xml:space="preserve">Gosselin v </w:t>
      </w:r>
      <w:r w:rsidR="005D5A1C">
        <w:rPr>
          <w:i/>
        </w:rPr>
        <w:t>Québec</w:t>
      </w:r>
      <w:r w:rsidR="009A41FE">
        <w:rPr>
          <w:i/>
        </w:rPr>
        <w:t xml:space="preserve"> (Attorney General)</w:t>
      </w:r>
      <w:bookmarkStart w:id="3" w:name="_Ref467493126"/>
      <w:r w:rsidR="008813ED">
        <w:t>,</w:t>
      </w:r>
      <w:r w:rsidR="009A41FE" w:rsidRPr="005104BC">
        <w:rPr>
          <w:vertAlign w:val="superscript"/>
        </w:rPr>
        <w:footnoteReference w:id="7"/>
      </w:r>
      <w:bookmarkEnd w:id="3"/>
      <w:r w:rsidR="00C066D2">
        <w:t xml:space="preserve"> the Supreme Court of Canada dismiss</w:t>
      </w:r>
      <w:r w:rsidR="009A41FE">
        <w:t xml:space="preserve">ed </w:t>
      </w:r>
      <w:r w:rsidR="001215BB" w:rsidRPr="001215BB">
        <w:t>Ms. Gosselin’s</w:t>
      </w:r>
      <w:r w:rsidR="00590C54">
        <w:rPr>
          <w:i/>
        </w:rPr>
        <w:t xml:space="preserve"> </w:t>
      </w:r>
      <w:r w:rsidR="003E424A">
        <w:t>claim</w:t>
      </w:r>
      <w:r w:rsidR="006D53E5">
        <w:t xml:space="preserve"> that setting </w:t>
      </w:r>
      <w:r w:rsidR="006D53E5">
        <w:lastRenderedPageBreak/>
        <w:t>social assistance rates for young welfare recipient</w:t>
      </w:r>
      <w:r w:rsidR="00DC74B4">
        <w:t>s at 80% below the poverty line</w:t>
      </w:r>
      <w:r w:rsidR="006D53E5" w:rsidRPr="005104BC">
        <w:rPr>
          <w:vertAlign w:val="superscript"/>
        </w:rPr>
        <w:footnoteReference w:id="8"/>
      </w:r>
      <w:r w:rsidR="006D53E5">
        <w:t xml:space="preserve"> was unconstitutional.</w:t>
      </w:r>
      <w:r w:rsidR="001215BB" w:rsidRPr="001215BB">
        <w:t xml:space="preserve"> </w:t>
      </w:r>
      <w:r w:rsidR="006D53E5">
        <w:t xml:space="preserve"> </w:t>
      </w:r>
      <w:r w:rsidR="00E573B7">
        <w:t xml:space="preserve">In her </w:t>
      </w:r>
      <w:r w:rsidR="001215BB" w:rsidRPr="001215BB">
        <w:t xml:space="preserve">majority </w:t>
      </w:r>
      <w:r w:rsidR="009A41FE">
        <w:t xml:space="preserve">judgment, </w:t>
      </w:r>
      <w:r w:rsidR="00BB77A9">
        <w:t xml:space="preserve">Chief Justice </w:t>
      </w:r>
      <w:r w:rsidR="00E573B7">
        <w:t xml:space="preserve">McLachlin </w:t>
      </w:r>
      <w:r w:rsidR="00BE70CB">
        <w:t>hel</w:t>
      </w:r>
      <w:r w:rsidR="00BB77A9">
        <w:t>d</w:t>
      </w:r>
      <w:r w:rsidR="00BB77A9" w:rsidRPr="005104BC">
        <w:t xml:space="preserve"> </w:t>
      </w:r>
      <w:r w:rsidR="001161BF">
        <w:t>that</w:t>
      </w:r>
      <w:r w:rsidR="00FC43EB">
        <w:t>,</w:t>
      </w:r>
      <w:r w:rsidR="00BB77A9" w:rsidRPr="005104BC">
        <w:t xml:space="preserve"> </w:t>
      </w:r>
      <w:r w:rsidR="00FF1F7A">
        <w:t xml:space="preserve">although </w:t>
      </w:r>
      <w:r w:rsidR="00BD477C" w:rsidRPr="00DC5FAC">
        <w:t>section 7</w:t>
      </w:r>
      <w:r w:rsidR="00BB77A9" w:rsidRPr="00DC5FAC">
        <w:t xml:space="preserve"> </w:t>
      </w:r>
      <w:r w:rsidR="00DC5FAC" w:rsidRPr="00BB39AE">
        <w:t xml:space="preserve">might </w:t>
      </w:r>
      <w:r w:rsidR="00FF1F7A">
        <w:t xml:space="preserve">one day be </w:t>
      </w:r>
      <w:r w:rsidR="00323417">
        <w:t>interprete</w:t>
      </w:r>
      <w:r w:rsidR="00FF1F7A">
        <w:t xml:space="preserve">d </w:t>
      </w:r>
      <w:r w:rsidR="001161BF">
        <w:t xml:space="preserve">as imposing </w:t>
      </w:r>
      <w:r w:rsidR="00BB77A9" w:rsidRPr="00BB39AE">
        <w:t>positive obligation</w:t>
      </w:r>
      <w:r w:rsidR="00DC5FAC" w:rsidRPr="00BB39AE">
        <w:t>s</w:t>
      </w:r>
      <w:r w:rsidR="00BB77A9" w:rsidRPr="00BB39AE">
        <w:t xml:space="preserve"> on Canadian governments to guarantee adequate living standards</w:t>
      </w:r>
      <w:r w:rsidR="00BB77A9" w:rsidRPr="00DC5FAC">
        <w:t xml:space="preserve">, the evidence was insufficient to prove a </w:t>
      </w:r>
      <w:r w:rsidR="00BD477C" w:rsidRPr="00DC5FAC">
        <w:rPr>
          <w:i/>
        </w:rPr>
        <w:t>Charter</w:t>
      </w:r>
      <w:r w:rsidR="00BD477C" w:rsidRPr="00DC5FAC">
        <w:t xml:space="preserve"> </w:t>
      </w:r>
      <w:r w:rsidR="009A41FE">
        <w:t xml:space="preserve">violation in the </w:t>
      </w:r>
      <w:r w:rsidR="009A41FE" w:rsidRPr="009A41FE">
        <w:rPr>
          <w:i/>
        </w:rPr>
        <w:t>Gosselin</w:t>
      </w:r>
      <w:r w:rsidR="00BB77A9" w:rsidRPr="00DC5FAC">
        <w:t xml:space="preserve"> case.</w:t>
      </w:r>
      <w:r w:rsidR="00BB77A9" w:rsidRPr="00DC5FAC">
        <w:rPr>
          <w:vertAlign w:val="superscript"/>
        </w:rPr>
        <w:footnoteReference w:id="9"/>
      </w:r>
    </w:p>
    <w:p w:rsidR="0099145C" w:rsidRDefault="00852092" w:rsidP="001215BB">
      <w:pPr>
        <w:spacing w:line="480" w:lineRule="auto"/>
        <w:ind w:firstLine="720"/>
      </w:pPr>
      <w:r>
        <w:t>This</w:t>
      </w:r>
      <w:r w:rsidR="00C71166">
        <w:t xml:space="preserve"> paper </w:t>
      </w:r>
      <w:r>
        <w:t>will examine</w:t>
      </w:r>
      <w:r w:rsidR="003B7BB1">
        <w:t xml:space="preserve"> the legacy of</w:t>
      </w:r>
      <w:r w:rsidR="00806DB3">
        <w:t xml:space="preserve"> </w:t>
      </w:r>
      <w:r w:rsidR="00AD2988" w:rsidRPr="00AD2988">
        <w:rPr>
          <w:i/>
        </w:rPr>
        <w:t>Gosselin</w:t>
      </w:r>
      <w:r w:rsidR="009D37B3">
        <w:t xml:space="preserve"> for </w:t>
      </w:r>
      <w:r w:rsidR="003B7BB1">
        <w:t xml:space="preserve">the </w:t>
      </w:r>
      <w:r w:rsidR="00C062AA">
        <w:t xml:space="preserve">section 7 rights and constitutional inclusion </w:t>
      </w:r>
      <w:r w:rsidR="003B7BB1">
        <w:t>of people living in poverty</w:t>
      </w:r>
      <w:r w:rsidR="008D7181">
        <w:t xml:space="preserve"> in Canada</w:t>
      </w:r>
      <w:r w:rsidR="003B7BB1">
        <w:t>.</w:t>
      </w:r>
      <w:r w:rsidR="00F054FE" w:rsidRPr="005104BC">
        <w:rPr>
          <w:vertAlign w:val="superscript"/>
        </w:rPr>
        <w:footnoteReference w:id="10"/>
      </w:r>
      <w:r>
        <w:t xml:space="preserve"> </w:t>
      </w:r>
      <w:r w:rsidR="00D22EFC">
        <w:t xml:space="preserve"> After summarizing the facts and outcome</w:t>
      </w:r>
      <w:r w:rsidR="005375D8">
        <w:t xml:space="preserve"> in the case</w:t>
      </w:r>
      <w:r w:rsidR="00D22EFC">
        <w:t xml:space="preserve">, </w:t>
      </w:r>
      <w:r w:rsidR="00C062AA">
        <w:t xml:space="preserve">the paper will consider the </w:t>
      </w:r>
      <w:r w:rsidR="00AB5FB6">
        <w:t>step forward</w:t>
      </w:r>
      <w:r w:rsidR="00C062AA">
        <w:t xml:space="preserve"> taken by the Supreme Court in </w:t>
      </w:r>
      <w:r w:rsidR="00C062AA" w:rsidRPr="00C062AA">
        <w:rPr>
          <w:i/>
        </w:rPr>
        <w:t>Gosselin</w:t>
      </w:r>
      <w:r w:rsidR="00C062AA">
        <w:t>: its</w:t>
      </w:r>
      <w:r w:rsidR="00AD2988">
        <w:t xml:space="preserve"> </w:t>
      </w:r>
      <w:r w:rsidR="00CA7F8D">
        <w:t xml:space="preserve">rejection of the argument </w:t>
      </w:r>
      <w:r>
        <w:t xml:space="preserve">that section 7 </w:t>
      </w:r>
      <w:r w:rsidR="00CA7F8D">
        <w:t>cannot impose</w:t>
      </w:r>
      <w:r>
        <w:t xml:space="preserve"> positive obligations on governments.  </w:t>
      </w:r>
      <w:r w:rsidR="007F0FC8">
        <w:t xml:space="preserve">The </w:t>
      </w:r>
      <w:r>
        <w:t>paper will</w:t>
      </w:r>
      <w:r w:rsidR="00AD2988">
        <w:t xml:space="preserve"> </w:t>
      </w:r>
      <w:r w:rsidR="007F0FC8">
        <w:t xml:space="preserve">then </w:t>
      </w:r>
      <w:r w:rsidR="00D76F48">
        <w:t xml:space="preserve">examine </w:t>
      </w:r>
      <w:r w:rsidR="00AD2988">
        <w:t>the</w:t>
      </w:r>
      <w:r w:rsidR="00AB5FB6">
        <w:t xml:space="preserve"> Court’s two steps back</w:t>
      </w:r>
      <w:r w:rsidR="00AD2988">
        <w:t xml:space="preserve">: </w:t>
      </w:r>
      <w:r w:rsidR="00FC43EB">
        <w:t xml:space="preserve">first, </w:t>
      </w:r>
      <w:r w:rsidR="0036117F">
        <w:t>the</w:t>
      </w:r>
      <w:r w:rsidR="00467A3E">
        <w:t xml:space="preserve"> majority’s</w:t>
      </w:r>
      <w:r w:rsidR="00CA7F8D">
        <w:t xml:space="preserve"> approach to the</w:t>
      </w:r>
      <w:r w:rsidR="00467A3E">
        <w:t xml:space="preserve"> </w:t>
      </w:r>
      <w:r w:rsidR="00AB5FB6">
        <w:t>evidence and</w:t>
      </w:r>
      <w:r w:rsidR="00FC43EB">
        <w:t>, second, its approach</w:t>
      </w:r>
      <w:r w:rsidR="00AB5FB6">
        <w:t xml:space="preserve"> to Louise Gosselin’s substantive </w:t>
      </w:r>
      <w:r w:rsidR="00467A3E">
        <w:t>claim</w:t>
      </w:r>
      <w:r w:rsidR="00276BE5">
        <w:t>,</w:t>
      </w:r>
      <w:r w:rsidR="00467A3E">
        <w:t xml:space="preserve"> </w:t>
      </w:r>
      <w:r w:rsidR="00236C0F">
        <w:t xml:space="preserve">leading </w:t>
      </w:r>
      <w:r w:rsidR="00467A3E">
        <w:t xml:space="preserve">it </w:t>
      </w:r>
      <w:r w:rsidR="00AC103D">
        <w:t xml:space="preserve">to conclude </w:t>
      </w:r>
      <w:r w:rsidR="008D492C">
        <w:t xml:space="preserve">that </w:t>
      </w:r>
      <w:r w:rsidR="00C062AA">
        <w:t xml:space="preserve">the life, liberty and security of </w:t>
      </w:r>
      <w:r w:rsidR="00AB5FB6">
        <w:t>young welfare recipients</w:t>
      </w:r>
      <w:r w:rsidR="00C062AA">
        <w:t xml:space="preserve"> </w:t>
      </w:r>
      <w:r w:rsidR="00347765">
        <w:t xml:space="preserve">were </w:t>
      </w:r>
      <w:r w:rsidR="0036117F">
        <w:t xml:space="preserve">not </w:t>
      </w:r>
      <w:r w:rsidR="003E7A86">
        <w:t xml:space="preserve">infringed by </w:t>
      </w:r>
      <w:r w:rsidR="003E04E3">
        <w:t xml:space="preserve">a </w:t>
      </w:r>
      <w:r w:rsidR="00236C0F">
        <w:t xml:space="preserve">provincial </w:t>
      </w:r>
      <w:r w:rsidR="00654C93">
        <w:t xml:space="preserve">regulation </w:t>
      </w:r>
      <w:r w:rsidR="00145806">
        <w:t xml:space="preserve">that </w:t>
      </w:r>
      <w:r w:rsidR="00A36135">
        <w:t xml:space="preserve">effectively </w:t>
      </w:r>
      <w:r w:rsidR="00AB5FB6">
        <w:t>forced them</w:t>
      </w:r>
      <w:r w:rsidR="00145806">
        <w:t xml:space="preserve"> to chose between hunger and homelessness</w:t>
      </w:r>
      <w:r w:rsidR="00BD7170">
        <w:t>.</w:t>
      </w:r>
      <w:r w:rsidR="00D22EFC" w:rsidRPr="005104BC">
        <w:rPr>
          <w:vertAlign w:val="superscript"/>
        </w:rPr>
        <w:footnoteReference w:id="11"/>
      </w:r>
      <w:r w:rsidR="00BD7170">
        <w:t xml:space="preserve"> </w:t>
      </w:r>
      <w:r w:rsidR="00D22EFC">
        <w:t xml:space="preserve"> </w:t>
      </w:r>
      <w:r w:rsidR="007924BA">
        <w:t xml:space="preserve">The </w:t>
      </w:r>
      <w:r w:rsidR="00DA2B10">
        <w:t xml:space="preserve">paper will </w:t>
      </w:r>
      <w:r w:rsidR="007924BA">
        <w:lastRenderedPageBreak/>
        <w:t xml:space="preserve">conclude </w:t>
      </w:r>
      <w:r w:rsidR="00FC43EB">
        <w:t xml:space="preserve">that </w:t>
      </w:r>
      <w:r w:rsidR="00DA2B10">
        <w:t>the</w:t>
      </w:r>
      <w:r w:rsidR="00654C93">
        <w:t xml:space="preserve"> </w:t>
      </w:r>
      <w:r w:rsidR="00DA2B10">
        <w:t xml:space="preserve">legacy of </w:t>
      </w:r>
      <w:r w:rsidR="00DA2B10" w:rsidRPr="00DA2B10">
        <w:rPr>
          <w:i/>
        </w:rPr>
        <w:t>Gosselin</w:t>
      </w:r>
      <w:r w:rsidR="00DA2B10">
        <w:t xml:space="preserve"> is a</w:t>
      </w:r>
      <w:r w:rsidR="00236C0F">
        <w:t xml:space="preserve"> </w:t>
      </w:r>
      <w:r w:rsidR="00DA2B10" w:rsidRPr="00654C93">
        <w:rPr>
          <w:i/>
        </w:rPr>
        <w:t>Charter</w:t>
      </w:r>
      <w:r w:rsidR="00DA2B10">
        <w:t xml:space="preserve"> </w:t>
      </w:r>
      <w:r w:rsidR="00111CE3">
        <w:t>being interpreted and applie</w:t>
      </w:r>
      <w:r w:rsidR="00276BE5">
        <w:t xml:space="preserve">d </w:t>
      </w:r>
      <w:r w:rsidR="0032253B">
        <w:t xml:space="preserve">by the courts </w:t>
      </w:r>
      <w:r w:rsidR="00276BE5">
        <w:t xml:space="preserve">to </w:t>
      </w:r>
      <w:r w:rsidR="007924BA">
        <w:t>exclude</w:t>
      </w:r>
      <w:r w:rsidR="00654C93">
        <w:t xml:space="preserve"> those most in need of its protection</w:t>
      </w:r>
      <w:r w:rsidR="00DA2B10">
        <w:t>.</w:t>
      </w:r>
    </w:p>
    <w:p w:rsidR="001B1C0E" w:rsidRPr="00A7120F" w:rsidRDefault="001B1C0E" w:rsidP="001B1C0E">
      <w:pPr>
        <w:spacing w:line="480" w:lineRule="auto"/>
      </w:pPr>
    </w:p>
    <w:p w:rsidR="001B1C0E" w:rsidRPr="001C7421" w:rsidRDefault="001C7421" w:rsidP="001C7421">
      <w:pPr>
        <w:pStyle w:val="Paragraphedeliste"/>
        <w:numPr>
          <w:ilvl w:val="0"/>
          <w:numId w:val="11"/>
        </w:numPr>
        <w:spacing w:line="480" w:lineRule="auto"/>
        <w:rPr>
          <w:b/>
        </w:rPr>
      </w:pPr>
      <w:r w:rsidRPr="001C7421">
        <w:rPr>
          <w:b/>
        </w:rPr>
        <w:t xml:space="preserve">THE </w:t>
      </w:r>
      <w:r w:rsidRPr="001C7421">
        <w:rPr>
          <w:b/>
          <w:i/>
        </w:rPr>
        <w:t>GOSSELIN</w:t>
      </w:r>
      <w:r w:rsidRPr="001C7421">
        <w:rPr>
          <w:b/>
        </w:rPr>
        <w:t xml:space="preserve"> CASE</w:t>
      </w:r>
    </w:p>
    <w:p w:rsidR="0085171F" w:rsidRDefault="00C24220" w:rsidP="0085171F">
      <w:pPr>
        <w:spacing w:line="480" w:lineRule="auto"/>
        <w:ind w:firstLine="360"/>
      </w:pPr>
      <w:r>
        <w:t xml:space="preserve">In a class action brought on </w:t>
      </w:r>
      <w:r w:rsidR="001423F4">
        <w:t>behalf</w:t>
      </w:r>
      <w:r>
        <w:t xml:space="preserve"> of </w:t>
      </w:r>
      <w:r w:rsidR="00A52415">
        <w:t xml:space="preserve">herself </w:t>
      </w:r>
      <w:r>
        <w:t>and</w:t>
      </w:r>
      <w:r w:rsidR="00A52415">
        <w:t xml:space="preserve"> </w:t>
      </w:r>
      <w:r w:rsidR="00AE266F">
        <w:t xml:space="preserve">other young welfare recipients in </w:t>
      </w:r>
      <w:r w:rsidR="005D5A1C">
        <w:t>Québec</w:t>
      </w:r>
      <w:r w:rsidR="00AE266F">
        <w:t xml:space="preserve"> </w:t>
      </w:r>
      <w:r w:rsidR="007142BF">
        <w:t>between 1985</w:t>
      </w:r>
      <w:r w:rsidR="00A52415">
        <w:t xml:space="preserve"> and 1989</w:t>
      </w:r>
      <w:r w:rsidR="00656248">
        <w:t xml:space="preserve">, </w:t>
      </w:r>
      <w:r w:rsidR="001423F4">
        <w:t xml:space="preserve">Louise Gosselin challenged </w:t>
      </w:r>
      <w:r w:rsidR="00A52415">
        <w:t xml:space="preserve">section 29(a) of </w:t>
      </w:r>
      <w:r w:rsidR="00AE266F">
        <w:t xml:space="preserve">the </w:t>
      </w:r>
      <w:r w:rsidR="00A52415" w:rsidRPr="001B1C0E">
        <w:rPr>
          <w:i/>
        </w:rPr>
        <w:t>Regulation respecting Social Aid</w:t>
      </w:r>
      <w:r w:rsidR="00E10DA6">
        <w:t>.</w:t>
      </w:r>
      <w:r w:rsidR="00ED2E1F" w:rsidRPr="005104BC">
        <w:rPr>
          <w:vertAlign w:val="superscript"/>
        </w:rPr>
        <w:footnoteReference w:id="12"/>
      </w:r>
      <w:r w:rsidR="007B20C3">
        <w:t xml:space="preserve"> </w:t>
      </w:r>
      <w:r w:rsidR="00E10DA6">
        <w:t xml:space="preserve"> </w:t>
      </w:r>
      <w:r w:rsidR="008E217F">
        <w:t>That provision</w:t>
      </w:r>
      <w:r w:rsidR="0085770C">
        <w:t xml:space="preserve">, which came into effect when </w:t>
      </w:r>
      <w:r w:rsidR="005D5A1C">
        <w:t>Québec</w:t>
      </w:r>
      <w:r w:rsidR="0085770C">
        <w:t xml:space="preserve">’s </w:t>
      </w:r>
      <w:r w:rsidR="0085770C" w:rsidRPr="00D30802">
        <w:rPr>
          <w:i/>
        </w:rPr>
        <w:t>Social Aid Act</w:t>
      </w:r>
      <w:r w:rsidR="0085770C" w:rsidRPr="005104BC">
        <w:rPr>
          <w:vertAlign w:val="superscript"/>
        </w:rPr>
        <w:footnoteReference w:id="13"/>
      </w:r>
      <w:r w:rsidR="00D30802">
        <w:t xml:space="preserve"> </w:t>
      </w:r>
      <w:r w:rsidR="0085770C">
        <w:t xml:space="preserve">was adopted in 1969, </w:t>
      </w:r>
      <w:r w:rsidR="007B20C3">
        <w:t xml:space="preserve">reduced the </w:t>
      </w:r>
      <w:r w:rsidR="008E217F">
        <w:t xml:space="preserve">level of </w:t>
      </w:r>
      <w:r w:rsidR="00D13CF4">
        <w:t xml:space="preserve">financial </w:t>
      </w:r>
      <w:r w:rsidR="008E217F">
        <w:t xml:space="preserve">assistance </w:t>
      </w:r>
      <w:r w:rsidR="00801A5F">
        <w:t>for</w:t>
      </w:r>
      <w:r w:rsidR="007B20C3">
        <w:t xml:space="preserve"> those under 30 to </w:t>
      </w:r>
      <w:r w:rsidR="00FC43EB">
        <w:t>roughly one</w:t>
      </w:r>
      <w:r w:rsidR="002C5CEB">
        <w:t xml:space="preserve"> third </w:t>
      </w:r>
      <w:r w:rsidR="00FF1115">
        <w:t xml:space="preserve">of </w:t>
      </w:r>
      <w:r w:rsidR="002C5CEB">
        <w:t xml:space="preserve">the </w:t>
      </w:r>
      <w:r w:rsidR="00FF1115">
        <w:t xml:space="preserve">“basic needs </w:t>
      </w:r>
      <w:r w:rsidR="002C5CEB">
        <w:t>amount</w:t>
      </w:r>
      <w:r w:rsidR="00FF1115">
        <w:t>”</w:t>
      </w:r>
      <w:r w:rsidR="0085171F">
        <w:t xml:space="preserve"> </w:t>
      </w:r>
      <w:r w:rsidR="00806E3B">
        <w:t xml:space="preserve">deemed under section 23 of the </w:t>
      </w:r>
      <w:r w:rsidR="00806E3B" w:rsidRPr="00806E3B">
        <w:rPr>
          <w:i/>
        </w:rPr>
        <w:t>Regulation</w:t>
      </w:r>
      <w:r w:rsidR="00806E3B">
        <w:t xml:space="preserve"> to be required </w:t>
      </w:r>
      <w:r w:rsidR="009331F6">
        <w:t xml:space="preserve">to meet </w:t>
      </w:r>
      <w:r w:rsidR="000F466F">
        <w:t xml:space="preserve">a recipient’s basic </w:t>
      </w:r>
      <w:r w:rsidR="00806E3B">
        <w:t>need</w:t>
      </w:r>
      <w:r w:rsidR="009331F6">
        <w:t>s</w:t>
      </w:r>
      <w:r w:rsidR="00012AC6">
        <w:t xml:space="preserve"> for </w:t>
      </w:r>
      <w:r w:rsidR="00012AC6" w:rsidRPr="00012AC6">
        <w:t>food, clothing, personal and household requirements</w:t>
      </w:r>
      <w:r w:rsidR="00C5701E">
        <w:t>,</w:t>
      </w:r>
      <w:r w:rsidR="00012AC6" w:rsidRPr="00012AC6">
        <w:t xml:space="preserve"> and </w:t>
      </w:r>
      <w:r w:rsidR="00012AC6">
        <w:t>shelter</w:t>
      </w:r>
      <w:r>
        <w:t>.</w:t>
      </w:r>
      <w:r w:rsidR="00564192" w:rsidRPr="005104BC">
        <w:rPr>
          <w:vertAlign w:val="superscript"/>
        </w:rPr>
        <w:footnoteReference w:id="14"/>
      </w:r>
      <w:r w:rsidR="00FE6C87">
        <w:t xml:space="preserve"> </w:t>
      </w:r>
      <w:r w:rsidR="007B20C3">
        <w:t xml:space="preserve"> </w:t>
      </w:r>
      <w:r w:rsidR="00865CCF">
        <w:t>I</w:t>
      </w:r>
      <w:r w:rsidR="009331F6">
        <w:t>n 1987</w:t>
      </w:r>
      <w:r w:rsidR="00E10DA6">
        <w:t>,</w:t>
      </w:r>
      <w:r w:rsidR="009331F6">
        <w:t xml:space="preserve"> </w:t>
      </w:r>
      <w:r w:rsidR="00865CCF">
        <w:t xml:space="preserve">for example, </w:t>
      </w:r>
      <w:r w:rsidR="0085171F">
        <w:t xml:space="preserve">while </w:t>
      </w:r>
      <w:r w:rsidR="00AE266F">
        <w:t xml:space="preserve">those </w:t>
      </w:r>
      <w:r w:rsidR="009331F6">
        <w:t xml:space="preserve">over </w:t>
      </w:r>
      <w:r w:rsidR="005061EF">
        <w:t xml:space="preserve">the age of </w:t>
      </w:r>
      <w:r w:rsidR="00E10DA6">
        <w:t xml:space="preserve">30 </w:t>
      </w:r>
      <w:r w:rsidR="0010248C">
        <w:t xml:space="preserve">were entitled to </w:t>
      </w:r>
      <w:r w:rsidR="009331F6">
        <w:t>the ba</w:t>
      </w:r>
      <w:r w:rsidR="008813ED">
        <w:t>sic needs amount of $466/month</w:t>
      </w:r>
      <w:r w:rsidR="000F466F">
        <w:t>,</w:t>
      </w:r>
      <w:r w:rsidR="0085171F">
        <w:t xml:space="preserve"> r</w:t>
      </w:r>
      <w:r w:rsidR="00837A4D">
        <w:t xml:space="preserve">ecipients </w:t>
      </w:r>
      <w:r w:rsidR="0085171F">
        <w:t xml:space="preserve">under the age of </w:t>
      </w:r>
      <w:r w:rsidR="0010248C">
        <w:t xml:space="preserve">30 </w:t>
      </w:r>
      <w:r w:rsidR="00E10DA6">
        <w:t xml:space="preserve">received </w:t>
      </w:r>
      <w:r w:rsidR="0097428D">
        <w:t xml:space="preserve">two-thirds less, or roughly </w:t>
      </w:r>
      <w:r w:rsidR="009331F6">
        <w:t>$170/month.</w:t>
      </w:r>
      <w:r w:rsidR="00012AC6" w:rsidRPr="005104BC">
        <w:rPr>
          <w:vertAlign w:val="superscript"/>
        </w:rPr>
        <w:footnoteReference w:id="15"/>
      </w:r>
      <w:r w:rsidR="00012AC6">
        <w:t xml:space="preserve">  </w:t>
      </w:r>
    </w:p>
    <w:p w:rsidR="001B1C0E" w:rsidRPr="00D30802" w:rsidRDefault="002B2C69" w:rsidP="001B1C0E">
      <w:pPr>
        <w:spacing w:line="480" w:lineRule="auto"/>
        <w:ind w:firstLine="360"/>
      </w:pPr>
      <w:r>
        <w:t>A</w:t>
      </w:r>
      <w:r w:rsidR="00D30802">
        <w:t xml:space="preserve">mendments </w:t>
      </w:r>
      <w:r>
        <w:t xml:space="preserve">to the social assistance regime </w:t>
      </w:r>
      <w:r w:rsidR="0085770C">
        <w:t xml:space="preserve">introduced </w:t>
      </w:r>
      <w:r>
        <w:t xml:space="preserve">by the </w:t>
      </w:r>
      <w:r w:rsidR="005D5A1C">
        <w:t>Québec</w:t>
      </w:r>
      <w:r w:rsidR="0089451E">
        <w:t xml:space="preserve"> </w:t>
      </w:r>
      <w:r>
        <w:t xml:space="preserve">government </w:t>
      </w:r>
      <w:r w:rsidR="00D30802">
        <w:t xml:space="preserve">in 1984 enabled young </w:t>
      </w:r>
      <w:r w:rsidR="00DC74B4">
        <w:t xml:space="preserve">welfare </w:t>
      </w:r>
      <w:r w:rsidR="00D30802">
        <w:t xml:space="preserve">recipients to </w:t>
      </w:r>
      <w:r w:rsidR="0085770C">
        <w:t>increas</w:t>
      </w:r>
      <w:r w:rsidR="0097428D">
        <w:t xml:space="preserve">e their benefits to the basic needs amount </w:t>
      </w:r>
      <w:r w:rsidR="000F466F">
        <w:t>– still almost 50% below the poverty line</w:t>
      </w:r>
      <w:r w:rsidR="000F466F" w:rsidRPr="005104BC">
        <w:rPr>
          <w:vertAlign w:val="superscript"/>
        </w:rPr>
        <w:footnoteReference w:id="16"/>
      </w:r>
      <w:r w:rsidR="000F466F">
        <w:t xml:space="preserve"> – </w:t>
      </w:r>
      <w:r w:rsidR="0085770C">
        <w:t xml:space="preserve">if they participated in </w:t>
      </w:r>
      <w:bookmarkStart w:id="4" w:name="_Hlk493673200"/>
      <w:r w:rsidR="0085770C">
        <w:t xml:space="preserve">on-the-job training or community work </w:t>
      </w:r>
      <w:bookmarkEnd w:id="4"/>
      <w:r w:rsidR="0085770C">
        <w:t>programs</w:t>
      </w:r>
      <w:r w:rsidR="004003A2">
        <w:t xml:space="preserve">.  </w:t>
      </w:r>
      <w:r w:rsidR="00BE402B">
        <w:t>B</w:t>
      </w:r>
      <w:r w:rsidR="004003A2">
        <w:t xml:space="preserve">enefits </w:t>
      </w:r>
      <w:r w:rsidR="00BE402B">
        <w:t xml:space="preserve">could be increased </w:t>
      </w:r>
      <w:r w:rsidR="0085770C">
        <w:t xml:space="preserve">to within $100 of the basic needs amount </w:t>
      </w:r>
      <w:r w:rsidR="00BE402B">
        <w:t xml:space="preserve">through participation </w:t>
      </w:r>
      <w:r w:rsidR="0085770C">
        <w:t>in remedial education programs.</w:t>
      </w:r>
      <w:r w:rsidR="006841A1" w:rsidRPr="005104BC">
        <w:rPr>
          <w:vertAlign w:val="superscript"/>
        </w:rPr>
        <w:footnoteReference w:id="17"/>
      </w:r>
      <w:r w:rsidR="0085770C">
        <w:t xml:space="preserve">  </w:t>
      </w:r>
      <w:r w:rsidR="00DF25DD">
        <w:t>There were, however</w:t>
      </w:r>
      <w:r w:rsidR="007D28AD">
        <w:t>,</w:t>
      </w:r>
      <w:r w:rsidR="00DF25DD">
        <w:t xml:space="preserve"> </w:t>
      </w:r>
      <w:r w:rsidR="004039AC" w:rsidRPr="004039AC">
        <w:t>significant administrative delays and numerous barriers to participation in</w:t>
      </w:r>
      <w:r w:rsidR="004039AC">
        <w:t xml:space="preserve"> all th</w:t>
      </w:r>
      <w:r w:rsidR="007D28AD">
        <w:t>ree</w:t>
      </w:r>
      <w:r w:rsidR="004039AC">
        <w:t xml:space="preserve"> programs, compounded by an</w:t>
      </w:r>
      <w:r w:rsidR="004039AC" w:rsidRPr="000D1D70">
        <w:t xml:space="preserve"> absolute </w:t>
      </w:r>
      <w:r w:rsidR="004039AC" w:rsidRPr="000D1D70">
        <w:lastRenderedPageBreak/>
        <w:t>sho</w:t>
      </w:r>
      <w:r w:rsidR="004039AC">
        <w:t>rtage of available placements</w:t>
      </w:r>
      <w:r w:rsidR="003C46A7">
        <w:t>.</w:t>
      </w:r>
      <w:r w:rsidR="007B54C3" w:rsidRPr="000D1D70">
        <w:rPr>
          <w:vertAlign w:val="superscript"/>
        </w:rPr>
        <w:footnoteReference w:id="18"/>
      </w:r>
      <w:r w:rsidR="003C46A7">
        <w:t xml:space="preserve">  B</w:t>
      </w:r>
      <w:r w:rsidR="004039AC" w:rsidRPr="000D1D70">
        <w:t>y the province’s own calculations</w:t>
      </w:r>
      <w:r w:rsidR="00DE5CB8">
        <w:t xml:space="preserve"> 85,000 </w:t>
      </w:r>
      <w:r w:rsidR="00600ECD">
        <w:t xml:space="preserve">young </w:t>
      </w:r>
      <w:r w:rsidR="00DE5CB8">
        <w:t xml:space="preserve">recipients were vying with </w:t>
      </w:r>
      <w:r w:rsidR="00600ECD">
        <w:t xml:space="preserve">recipients over the age of </w:t>
      </w:r>
      <w:r w:rsidR="00BE402B">
        <w:t xml:space="preserve">30 </w:t>
      </w:r>
      <w:r w:rsidR="00DC74B4">
        <w:t>(</w:t>
      </w:r>
      <w:r w:rsidR="00111E04">
        <w:t xml:space="preserve">who </w:t>
      </w:r>
      <w:r w:rsidR="00600ECD">
        <w:t xml:space="preserve">could also increase </w:t>
      </w:r>
      <w:r w:rsidR="00111E04">
        <w:t>their benefit</w:t>
      </w:r>
      <w:r w:rsidR="00600ECD">
        <w:t>s through program participation</w:t>
      </w:r>
      <w:r w:rsidR="00DC74B4">
        <w:t>)</w:t>
      </w:r>
      <w:r w:rsidR="00111E04">
        <w:t xml:space="preserve"> </w:t>
      </w:r>
      <w:r w:rsidR="00DE5CB8">
        <w:t>for only 30,000 spaces</w:t>
      </w:r>
      <w:r w:rsidR="007D28AD">
        <w:t>.</w:t>
      </w:r>
      <w:r w:rsidR="004039AC" w:rsidRPr="000D1D70">
        <w:rPr>
          <w:vertAlign w:val="superscript"/>
        </w:rPr>
        <w:footnoteReference w:id="19"/>
      </w:r>
      <w:r w:rsidR="004039AC">
        <w:t xml:space="preserve"> </w:t>
      </w:r>
      <w:r w:rsidR="007D28AD">
        <w:t xml:space="preserve"> As a result, </w:t>
      </w:r>
      <w:r w:rsidR="004039AC">
        <w:t xml:space="preserve">only 11% of </w:t>
      </w:r>
      <w:r w:rsidR="008D492C">
        <w:t xml:space="preserve">recipients under the age of </w:t>
      </w:r>
      <w:r w:rsidR="004039AC" w:rsidRPr="000D1D70">
        <w:t xml:space="preserve">30 achieved the </w:t>
      </w:r>
      <w:r w:rsidR="003656CE">
        <w:t xml:space="preserve">full basic needs </w:t>
      </w:r>
      <w:r w:rsidR="004039AC" w:rsidRPr="000D1D70">
        <w:t>amount while 73%, including Louise Gosselin for most of the relevant period, were forced to subsist on the $170/month</w:t>
      </w:r>
      <w:r w:rsidR="008D492C">
        <w:t xml:space="preserve"> rate</w:t>
      </w:r>
      <w:r w:rsidR="004039AC" w:rsidRPr="000D1D70">
        <w:t>.</w:t>
      </w:r>
      <w:r w:rsidR="004039AC" w:rsidRPr="000D1D70">
        <w:rPr>
          <w:vertAlign w:val="superscript"/>
        </w:rPr>
        <w:footnoteReference w:id="20"/>
      </w:r>
      <w:r w:rsidR="004039AC" w:rsidRPr="000D1D70">
        <w:t xml:space="preserve">  </w:t>
      </w:r>
    </w:p>
    <w:p w:rsidR="001B1C0E" w:rsidRPr="001B1C0E" w:rsidRDefault="001B1C0E" w:rsidP="001B1C0E">
      <w:pPr>
        <w:spacing w:line="480" w:lineRule="auto"/>
        <w:ind w:firstLine="360"/>
      </w:pPr>
    </w:p>
    <w:p w:rsidR="001B1C0E" w:rsidRDefault="001B1C0E" w:rsidP="001C7421">
      <w:pPr>
        <w:pStyle w:val="Paragraphedeliste"/>
        <w:numPr>
          <w:ilvl w:val="0"/>
          <w:numId w:val="12"/>
        </w:numPr>
        <w:spacing w:line="480" w:lineRule="auto"/>
      </w:pPr>
      <w:r w:rsidRPr="001C7421">
        <w:rPr>
          <w:b/>
          <w:bCs/>
        </w:rPr>
        <w:t xml:space="preserve">Louise Gosselin’s </w:t>
      </w:r>
      <w:r w:rsidRPr="001C7421">
        <w:rPr>
          <w:b/>
          <w:bCs/>
          <w:i/>
        </w:rPr>
        <w:t>Charter</w:t>
      </w:r>
      <w:r w:rsidRPr="001C7421">
        <w:rPr>
          <w:b/>
          <w:bCs/>
        </w:rPr>
        <w:t xml:space="preserve"> Claim </w:t>
      </w:r>
    </w:p>
    <w:p w:rsidR="006F5422" w:rsidRDefault="003C7BB6" w:rsidP="00F45097">
      <w:pPr>
        <w:spacing w:line="480" w:lineRule="auto"/>
        <w:ind w:firstLine="720"/>
      </w:pPr>
      <w:r>
        <w:t>Louise</w:t>
      </w:r>
      <w:r w:rsidR="00A841AB">
        <w:t xml:space="preserve"> Gosselin argued that </w:t>
      </w:r>
      <w:r w:rsidR="00583E6E">
        <w:t xml:space="preserve">section 29(a) </w:t>
      </w:r>
      <w:r w:rsidR="00E10DA6">
        <w:t xml:space="preserve">of the </w:t>
      </w:r>
      <w:r w:rsidR="00E10DA6" w:rsidRPr="00E10DA6">
        <w:rPr>
          <w:i/>
        </w:rPr>
        <w:t>Regulation</w:t>
      </w:r>
      <w:r w:rsidR="00E10DA6">
        <w:t xml:space="preserve"> </w:t>
      </w:r>
      <w:r w:rsidR="008E217F">
        <w:t xml:space="preserve">violated </w:t>
      </w:r>
      <w:r w:rsidR="005061EF">
        <w:t xml:space="preserve">the </w:t>
      </w:r>
      <w:r w:rsidR="004A0D16">
        <w:t xml:space="preserve">right to security of the person under section 7 of the Canadian </w:t>
      </w:r>
      <w:r w:rsidR="004A0D16" w:rsidRPr="004A0D16">
        <w:rPr>
          <w:i/>
        </w:rPr>
        <w:t>Charter</w:t>
      </w:r>
      <w:r w:rsidR="004D4EC5">
        <w:t>; the prohibition against age discrimination</w:t>
      </w:r>
      <w:r w:rsidR="00C779BC">
        <w:t xml:space="preserve"> under section 15</w:t>
      </w:r>
      <w:r w:rsidR="004D245B">
        <w:t>;</w:t>
      </w:r>
      <w:r w:rsidR="00EC5283">
        <w:t xml:space="preserve"> and the right to “an acceptable</w:t>
      </w:r>
      <w:r w:rsidR="004D4EC5" w:rsidRPr="00EC5283">
        <w:t xml:space="preserve"> standard of living</w:t>
      </w:r>
      <w:r w:rsidR="00EC5283">
        <w:t>”</w:t>
      </w:r>
      <w:r w:rsidR="004D4EC5">
        <w:t xml:space="preserve"> under </w:t>
      </w:r>
      <w:r w:rsidR="005104BC" w:rsidRPr="005104BC">
        <w:t xml:space="preserve">section 45 of </w:t>
      </w:r>
      <w:r w:rsidR="005D5A1C">
        <w:t>Québec</w:t>
      </w:r>
      <w:r w:rsidR="00C779BC">
        <w:t>’s</w:t>
      </w:r>
      <w:r w:rsidR="005104BC" w:rsidRPr="005104BC">
        <w:t xml:space="preserve"> </w:t>
      </w:r>
      <w:r w:rsidR="005104BC" w:rsidRPr="005104BC">
        <w:rPr>
          <w:i/>
          <w:iCs/>
        </w:rPr>
        <w:t>Charter of Human Rights and Freedoms</w:t>
      </w:r>
      <w:r w:rsidR="0082639A">
        <w:t>.</w:t>
      </w:r>
      <w:r w:rsidR="005104BC" w:rsidRPr="005104BC">
        <w:rPr>
          <w:vertAlign w:val="superscript"/>
        </w:rPr>
        <w:footnoteReference w:id="21"/>
      </w:r>
      <w:r w:rsidR="005104BC" w:rsidRPr="005104BC">
        <w:t xml:space="preserve"> </w:t>
      </w:r>
      <w:r w:rsidR="00762524">
        <w:t xml:space="preserve"> </w:t>
      </w:r>
      <w:r w:rsidR="00B36C8F">
        <w:t xml:space="preserve">The </w:t>
      </w:r>
      <w:r w:rsidR="00A86848">
        <w:t xml:space="preserve">evidentiary </w:t>
      </w:r>
      <w:r w:rsidR="00B36C8F">
        <w:t>record submitted by Ms. Gosselin</w:t>
      </w:r>
      <w:r w:rsidR="00C779BC" w:rsidRPr="002D7E25">
        <w:rPr>
          <w:vertAlign w:val="superscript"/>
        </w:rPr>
        <w:footnoteReference w:id="22"/>
      </w:r>
      <w:r w:rsidR="00075085">
        <w:t xml:space="preserve"> </w:t>
      </w:r>
      <w:r w:rsidR="00F45097">
        <w:t xml:space="preserve">in support of her claim </w:t>
      </w:r>
      <w:r w:rsidR="00B36C8F">
        <w:t xml:space="preserve">included </w:t>
      </w:r>
      <w:r w:rsidR="00801A5F">
        <w:t xml:space="preserve">expert </w:t>
      </w:r>
      <w:r w:rsidR="00826DEB">
        <w:t xml:space="preserve">evidence </w:t>
      </w:r>
      <w:r w:rsidR="00B36C8F">
        <w:t xml:space="preserve">from </w:t>
      </w:r>
      <w:r w:rsidR="000F2CE6">
        <w:t xml:space="preserve">economists and </w:t>
      </w:r>
      <w:r w:rsidR="00B36C8F">
        <w:t>current and former government officials in the fields of social policy, income security, labour, youth services and education</w:t>
      </w:r>
      <w:r w:rsidR="003907AE">
        <w:t>, as well as</w:t>
      </w:r>
      <w:r w:rsidR="00110BA4">
        <w:t xml:space="preserve"> </w:t>
      </w:r>
      <w:r w:rsidR="003907AE">
        <w:t xml:space="preserve">testimony </w:t>
      </w:r>
      <w:r w:rsidR="000F2CE6">
        <w:t xml:space="preserve">from </w:t>
      </w:r>
      <w:r w:rsidR="004678B2">
        <w:t>a</w:t>
      </w:r>
      <w:r w:rsidR="0065648B">
        <w:t xml:space="preserve"> social worker</w:t>
      </w:r>
      <w:r w:rsidR="004678B2">
        <w:t xml:space="preserve">, </w:t>
      </w:r>
      <w:r w:rsidR="00075085">
        <w:t xml:space="preserve">a </w:t>
      </w:r>
      <w:r w:rsidR="004678B2">
        <w:t xml:space="preserve">dietician, </w:t>
      </w:r>
      <w:r w:rsidR="00075085">
        <w:t xml:space="preserve">a </w:t>
      </w:r>
      <w:r w:rsidR="004678B2">
        <w:t>psychologist</w:t>
      </w:r>
      <w:r w:rsidR="0065648B">
        <w:t>, and a physician</w:t>
      </w:r>
      <w:r w:rsidR="00826DEB">
        <w:t xml:space="preserve"> in a community health practice</w:t>
      </w:r>
      <w:r w:rsidR="003907AE">
        <w:t xml:space="preserve"> who </w:t>
      </w:r>
      <w:r w:rsidR="00110BA4">
        <w:t>had work</w:t>
      </w:r>
      <w:r w:rsidR="0065648B">
        <w:t>ed closely with young welfare recipients</w:t>
      </w:r>
      <w:r w:rsidR="004678B2">
        <w:t>.</w:t>
      </w:r>
      <w:r w:rsidR="004678B2" w:rsidRPr="005104BC">
        <w:t xml:space="preserve"> </w:t>
      </w:r>
      <w:r w:rsidR="00075085">
        <w:t xml:space="preserve"> </w:t>
      </w:r>
      <w:r w:rsidR="000F2CE6">
        <w:t xml:space="preserve">Ms. Gosselin also submitted extensive documentary evidence, including World Health </w:t>
      </w:r>
      <w:r w:rsidR="000F2CE6">
        <w:lastRenderedPageBreak/>
        <w:t xml:space="preserve">Organization, </w:t>
      </w:r>
      <w:r w:rsidR="00110BA4">
        <w:t xml:space="preserve">Canadian and </w:t>
      </w:r>
      <w:r w:rsidR="000F2CE6">
        <w:t>provincia</w:t>
      </w:r>
      <w:r w:rsidR="00110BA4">
        <w:t>l</w:t>
      </w:r>
      <w:r w:rsidR="00110BA4" w:rsidRPr="00110BA4">
        <w:t xml:space="preserve"> government</w:t>
      </w:r>
      <w:r w:rsidR="00110BA4">
        <w:t xml:space="preserve"> </w:t>
      </w:r>
      <w:r w:rsidR="000F2CE6">
        <w:t xml:space="preserve">and non-governmental </w:t>
      </w:r>
      <w:r w:rsidR="00110BA4">
        <w:t>reports, statistics</w:t>
      </w:r>
      <w:r w:rsidR="000F2CE6">
        <w:t xml:space="preserve"> and studies.</w:t>
      </w:r>
      <w:r w:rsidR="00110BA4" w:rsidRPr="005104BC">
        <w:rPr>
          <w:vertAlign w:val="superscript"/>
        </w:rPr>
        <w:footnoteReference w:id="23"/>
      </w:r>
      <w:r>
        <w:t xml:space="preserve">  Finally, Ms. Gosselin </w:t>
      </w:r>
      <w:r w:rsidR="003907AE">
        <w:t xml:space="preserve">described </w:t>
      </w:r>
      <w:r w:rsidR="0089451E">
        <w:t xml:space="preserve">the impact of the </w:t>
      </w:r>
      <w:r w:rsidR="004F301E" w:rsidRPr="004F301E">
        <w:rPr>
          <w:i/>
        </w:rPr>
        <w:t>Regulation</w:t>
      </w:r>
      <w:r w:rsidR="0089451E">
        <w:t xml:space="preserve"> on her own life,</w:t>
      </w:r>
      <w:r w:rsidR="00801A5F">
        <w:t xml:space="preserve"> including her efforts to survi</w:t>
      </w:r>
      <w:r w:rsidR="00485896">
        <w:t xml:space="preserve">ve on the </w:t>
      </w:r>
      <w:r w:rsidR="003907AE">
        <w:t xml:space="preserve">under-30 </w:t>
      </w:r>
      <w:r w:rsidR="00485896">
        <w:t xml:space="preserve">rate and to access the on-the-job training, </w:t>
      </w:r>
      <w:r w:rsidR="00485896" w:rsidRPr="00485896">
        <w:t>community work</w:t>
      </w:r>
      <w:r w:rsidR="00485896">
        <w:t xml:space="preserve"> and remedial educations programs</w:t>
      </w:r>
      <w:r>
        <w:t>.</w:t>
      </w:r>
      <w:r w:rsidR="00A12542" w:rsidRPr="005104BC">
        <w:rPr>
          <w:vertAlign w:val="superscript"/>
        </w:rPr>
        <w:footnoteReference w:id="24"/>
      </w:r>
    </w:p>
    <w:p w:rsidR="005104BC" w:rsidRPr="0049506C" w:rsidRDefault="00075085" w:rsidP="006F5422">
      <w:pPr>
        <w:spacing w:line="480" w:lineRule="auto"/>
        <w:ind w:firstLine="720"/>
        <w:rPr>
          <w:lang w:val="fr-CA"/>
        </w:rPr>
      </w:pPr>
      <w:r>
        <w:t>Th</w:t>
      </w:r>
      <w:r w:rsidR="00826DEB">
        <w:t>e</w:t>
      </w:r>
      <w:r>
        <w:t xml:space="preserve"> </w:t>
      </w:r>
      <w:r w:rsidR="006F5422">
        <w:t xml:space="preserve">expert </w:t>
      </w:r>
      <w:r w:rsidR="004678B2">
        <w:t xml:space="preserve">evidence </w:t>
      </w:r>
      <w:r w:rsidR="005104BC" w:rsidRPr="005104BC">
        <w:t xml:space="preserve">showed that </w:t>
      </w:r>
      <w:r w:rsidR="004A0D16">
        <w:t>youth</w:t>
      </w:r>
      <w:r w:rsidR="00340206">
        <w:t xml:space="preserve"> </w:t>
      </w:r>
      <w:r w:rsidR="005104BC" w:rsidRPr="005104BC">
        <w:t>living on the reduced rate were malnourished, socially isolated, often homeless, and in poor physical and psychological health.</w:t>
      </w:r>
      <w:r w:rsidR="005104BC" w:rsidRPr="005104BC">
        <w:rPr>
          <w:vertAlign w:val="superscript"/>
        </w:rPr>
        <w:footnoteReference w:id="25"/>
      </w:r>
      <w:r w:rsidR="005104BC" w:rsidRPr="005104BC">
        <w:t xml:space="preserve">  </w:t>
      </w:r>
      <w:r w:rsidR="00763CA3" w:rsidRPr="004F301E">
        <w:rPr>
          <w:lang w:val="fr-CA"/>
        </w:rPr>
        <w:t xml:space="preserve">In the words of the </w:t>
      </w:r>
      <w:r w:rsidR="001B0995" w:rsidRPr="004F301E">
        <w:rPr>
          <w:lang w:val="fr-CA"/>
        </w:rPr>
        <w:t>trial judge:</w:t>
      </w:r>
      <w:r w:rsidR="004F301E" w:rsidRPr="004F301E">
        <w:rPr>
          <w:lang w:val="fr-CA"/>
        </w:rPr>
        <w:t xml:space="preserve"> “Leur situation économique précaire les prive </w:t>
      </w:r>
      <w:r w:rsidR="004F301E">
        <w:rPr>
          <w:lang w:val="fr-CA"/>
        </w:rPr>
        <w:t>de toute vie sociale et affecte</w:t>
      </w:r>
      <w:r w:rsidR="004F301E" w:rsidRPr="004F301E">
        <w:rPr>
          <w:lang w:val="fr-CA"/>
        </w:rPr>
        <w:t xml:space="preserve"> leur santé mental.”</w:t>
      </w:r>
      <w:r w:rsidR="00763CA3" w:rsidRPr="005104BC">
        <w:rPr>
          <w:vertAlign w:val="superscript"/>
        </w:rPr>
        <w:footnoteReference w:id="26"/>
      </w:r>
      <w:r w:rsidR="001B0995" w:rsidRPr="004F301E">
        <w:rPr>
          <w:lang w:val="fr-CA"/>
        </w:rPr>
        <w:t xml:space="preserve">  </w:t>
      </w:r>
      <w:r w:rsidR="002F57B6" w:rsidRPr="004F301E">
        <w:rPr>
          <w:lang w:val="fr-CA"/>
        </w:rPr>
        <w:t>Young rec</w:t>
      </w:r>
      <w:r w:rsidR="004F301E">
        <w:rPr>
          <w:lang w:val="fr-CA"/>
        </w:rPr>
        <w:t xml:space="preserve">ipients </w:t>
      </w:r>
      <w:r w:rsidR="0049506C">
        <w:rPr>
          <w:lang w:val="fr-CA"/>
        </w:rPr>
        <w:t>were faced with an impossible choice</w:t>
      </w:r>
      <w:r w:rsidR="002F57B6" w:rsidRPr="004F301E">
        <w:rPr>
          <w:lang w:val="fr-CA"/>
        </w:rPr>
        <w:t>:</w:t>
      </w:r>
      <w:r w:rsidR="004F301E" w:rsidRPr="004F301E">
        <w:rPr>
          <w:lang w:val="fr-CA"/>
        </w:rPr>
        <w:t xml:space="preserve"> “Le dilemme de ces jeunes est de payer un maigre loyer et de quêter la nourriture, ou de se passer de loyer et de s’abriter tant bien que mal afin d’utiliser le petit montant qu’ils reçoivent pour se nourrir.”</w:t>
      </w:r>
      <w:r w:rsidR="00077190" w:rsidRPr="005104BC">
        <w:rPr>
          <w:vertAlign w:val="superscript"/>
        </w:rPr>
        <w:footnoteReference w:id="27"/>
      </w:r>
      <w:r w:rsidR="00077190" w:rsidRPr="004F301E">
        <w:rPr>
          <w:lang w:val="fr-CA"/>
        </w:rPr>
        <w:t xml:space="preserve">  </w:t>
      </w:r>
      <w:r w:rsidR="005104BC" w:rsidRPr="00077190">
        <w:t xml:space="preserve">Some </w:t>
      </w:r>
      <w:r w:rsidR="00600ECD" w:rsidRPr="00077190">
        <w:t>recipien</w:t>
      </w:r>
      <w:r w:rsidR="00591F82" w:rsidRPr="00077190">
        <w:t>t</w:t>
      </w:r>
      <w:r w:rsidR="005104BC" w:rsidRPr="00077190">
        <w:t xml:space="preserve">s resorted to </w:t>
      </w:r>
      <w:r w:rsidR="00801A5F">
        <w:t xml:space="preserve">prostitution and </w:t>
      </w:r>
      <w:r w:rsidR="005104BC" w:rsidRPr="00077190">
        <w:t>selling drugs to earn enough money to pay their rent; others attempted suicide.</w:t>
      </w:r>
      <w:r w:rsidR="005104BC" w:rsidRPr="005104BC">
        <w:rPr>
          <w:vertAlign w:val="superscript"/>
        </w:rPr>
        <w:footnoteReference w:id="28"/>
      </w:r>
      <w:r w:rsidR="005104BC" w:rsidRPr="00077190">
        <w:t xml:space="preserve">  </w:t>
      </w:r>
      <w:r w:rsidR="005104BC" w:rsidRPr="005104BC">
        <w:t xml:space="preserve">Lack of stable housing, </w:t>
      </w:r>
      <w:r w:rsidR="000851FE">
        <w:t xml:space="preserve">a </w:t>
      </w:r>
      <w:r w:rsidR="005104BC" w:rsidRPr="005104BC">
        <w:t xml:space="preserve">phone, </w:t>
      </w:r>
      <w:r w:rsidR="00584C5E">
        <w:t xml:space="preserve">or </w:t>
      </w:r>
      <w:r w:rsidR="005104BC" w:rsidRPr="005104BC">
        <w:t xml:space="preserve">presentable clothing made it difficult for </w:t>
      </w:r>
      <w:r w:rsidR="00340206">
        <w:t>recipient</w:t>
      </w:r>
      <w:r w:rsidR="00591F82" w:rsidRPr="005104BC">
        <w:t>s</w:t>
      </w:r>
      <w:r w:rsidR="005104BC" w:rsidRPr="005104BC">
        <w:t xml:space="preserve"> to</w:t>
      </w:r>
      <w:r w:rsidR="00906DEA">
        <w:t xml:space="preserve"> find w</w:t>
      </w:r>
      <w:r w:rsidR="00A8480B">
        <w:t xml:space="preserve">ork.  </w:t>
      </w:r>
      <w:r w:rsidR="00A8480B" w:rsidRPr="0049506C">
        <w:rPr>
          <w:lang w:val="fr-CA"/>
        </w:rPr>
        <w:t>O</w:t>
      </w:r>
      <w:r w:rsidR="00906DEA" w:rsidRPr="0049506C">
        <w:rPr>
          <w:lang w:val="fr-CA"/>
        </w:rPr>
        <w:t xml:space="preserve">ne expert </w:t>
      </w:r>
      <w:r w:rsidR="005459BD">
        <w:rPr>
          <w:lang w:val="fr-CA"/>
        </w:rPr>
        <w:t>queri</w:t>
      </w:r>
      <w:r w:rsidR="00591F82" w:rsidRPr="0049506C">
        <w:rPr>
          <w:lang w:val="fr-CA"/>
        </w:rPr>
        <w:t>ed</w:t>
      </w:r>
      <w:r w:rsidR="0049506C" w:rsidRPr="0049506C">
        <w:rPr>
          <w:lang w:val="fr-CA"/>
        </w:rPr>
        <w:t xml:space="preserve">: </w:t>
      </w:r>
      <w:r w:rsidR="0049506C" w:rsidRPr="00AD3B72">
        <w:rPr>
          <w:lang w:val="fr-CA"/>
        </w:rPr>
        <w:t xml:space="preserve">“Quel employeur ira engager une personne qui ne peut </w:t>
      </w:r>
      <w:r w:rsidR="0049506C">
        <w:rPr>
          <w:lang w:val="fr-CA"/>
        </w:rPr>
        <w:t>pas lui donner un numéro de télé</w:t>
      </w:r>
      <w:r w:rsidR="0049506C" w:rsidRPr="00AD3B72">
        <w:rPr>
          <w:lang w:val="fr-CA"/>
        </w:rPr>
        <w:t xml:space="preserve">phone pour le rappeler quand des postes ouvrent? </w:t>
      </w:r>
      <w:r w:rsidR="0049506C">
        <w:rPr>
          <w:lang w:val="fr-CA"/>
        </w:rPr>
        <w:t xml:space="preserve"> Quel employeur ira engager un jeune avec des trous dans ses vêtements?</w:t>
      </w:r>
      <w:r w:rsidR="0049506C" w:rsidRPr="00077190">
        <w:rPr>
          <w:lang w:val="fr-CA"/>
        </w:rPr>
        <w:t>”</w:t>
      </w:r>
      <w:r w:rsidR="005104BC" w:rsidRPr="005104BC">
        <w:rPr>
          <w:vertAlign w:val="superscript"/>
        </w:rPr>
        <w:footnoteReference w:id="29"/>
      </w:r>
      <w:r w:rsidR="00DF25DD" w:rsidRPr="0049506C">
        <w:rPr>
          <w:lang w:val="fr-CA"/>
        </w:rPr>
        <w:t xml:space="preserve">  </w:t>
      </w:r>
    </w:p>
    <w:p w:rsidR="005104BC" w:rsidRPr="005104BC" w:rsidRDefault="00591F82" w:rsidP="00591F82">
      <w:pPr>
        <w:spacing w:line="480" w:lineRule="auto"/>
        <w:ind w:firstLine="720"/>
      </w:pPr>
      <w:r>
        <w:t>Louise Gosselin’</w:t>
      </w:r>
      <w:r w:rsidR="005104BC" w:rsidRPr="005104BC">
        <w:t xml:space="preserve">s </w:t>
      </w:r>
      <w:r w:rsidR="0089451E">
        <w:t xml:space="preserve">direct </w:t>
      </w:r>
      <w:r w:rsidR="005104BC" w:rsidRPr="005104BC">
        <w:t xml:space="preserve">experience </w:t>
      </w:r>
      <w:r w:rsidR="00485896">
        <w:t xml:space="preserve">of the </w:t>
      </w:r>
      <w:r w:rsidR="00F45097" w:rsidRPr="00F45097">
        <w:rPr>
          <w:i/>
        </w:rPr>
        <w:t>Regulation</w:t>
      </w:r>
      <w:r w:rsidR="00F45097">
        <w:t xml:space="preserve"> </w:t>
      </w:r>
      <w:r w:rsidR="005104BC" w:rsidRPr="005104BC">
        <w:t xml:space="preserve">was one of acute material and psychological insecurity, deprivation and indignity.  She was often hungry, </w:t>
      </w:r>
      <w:r w:rsidR="00D32A41">
        <w:t xml:space="preserve">in constant fear of not having enough to eat, </w:t>
      </w:r>
      <w:r w:rsidR="005104BC" w:rsidRPr="005104BC">
        <w:t xml:space="preserve">and </w:t>
      </w:r>
      <w:r w:rsidR="00D32A41">
        <w:t>suffering</w:t>
      </w:r>
      <w:r w:rsidR="005104BC" w:rsidRPr="005104BC">
        <w:t xml:space="preserve"> symptoms of malnourishment, including anxiety, fatigue, vulnerability to infections and illness, and lack of concentration.</w:t>
      </w:r>
      <w:r w:rsidR="005104BC" w:rsidRPr="005104BC">
        <w:rPr>
          <w:vertAlign w:val="superscript"/>
        </w:rPr>
        <w:footnoteReference w:id="30"/>
      </w:r>
      <w:r w:rsidR="002A6EBD">
        <w:t xml:space="preserve">  I</w:t>
      </w:r>
      <w:r w:rsidR="005104BC" w:rsidRPr="005104BC">
        <w:t>n order to obtain food, she was forced to rely on her family and resorted to sou</w:t>
      </w:r>
      <w:r w:rsidR="00747E7F">
        <w:t>p kitchens and other charity-</w:t>
      </w:r>
      <w:r w:rsidR="005104BC" w:rsidRPr="005104BC">
        <w:t xml:space="preserve">run </w:t>
      </w:r>
      <w:r>
        <w:t>food p</w:t>
      </w:r>
      <w:r w:rsidR="00C436F7">
        <w:t xml:space="preserve">rograms.  </w:t>
      </w:r>
      <w:r w:rsidR="00C436F7" w:rsidRPr="0049506C">
        <w:rPr>
          <w:lang w:val="fr-CA"/>
        </w:rPr>
        <w:t>As she put it</w:t>
      </w:r>
      <w:r w:rsidRPr="0049506C">
        <w:rPr>
          <w:lang w:val="fr-CA"/>
        </w:rPr>
        <w:t>:</w:t>
      </w:r>
      <w:r w:rsidR="0049506C" w:rsidRPr="0049506C">
        <w:rPr>
          <w:lang w:val="fr-CA"/>
        </w:rPr>
        <w:t xml:space="preserve"> “Quand quelqu’un me donnait à manger, j’y allais.”</w:t>
      </w:r>
      <w:r w:rsidR="005104BC" w:rsidRPr="005104BC">
        <w:rPr>
          <w:vertAlign w:val="superscript"/>
        </w:rPr>
        <w:footnoteReference w:id="31"/>
      </w:r>
      <w:r w:rsidRPr="0049506C">
        <w:rPr>
          <w:lang w:val="fr-CA"/>
        </w:rPr>
        <w:t xml:space="preserve">  </w:t>
      </w:r>
      <w:r>
        <w:t>Ms. Gosselin</w:t>
      </w:r>
      <w:r w:rsidR="005104BC" w:rsidRPr="005104BC">
        <w:t xml:space="preserve"> lived in unsafe and substandard housing, and w</w:t>
      </w:r>
      <w:r w:rsidR="00A8480B">
        <w:t xml:space="preserve">as frequently homeless.  </w:t>
      </w:r>
      <w:r w:rsidR="00A8480B" w:rsidRPr="0049506C">
        <w:rPr>
          <w:lang w:val="fr-CA"/>
        </w:rPr>
        <w:t>S</w:t>
      </w:r>
      <w:r w:rsidR="005104BC" w:rsidRPr="0049506C">
        <w:rPr>
          <w:lang w:val="fr-CA"/>
        </w:rPr>
        <w:t>he described one basement apartment in whi</w:t>
      </w:r>
      <w:r w:rsidRPr="0049506C">
        <w:rPr>
          <w:lang w:val="fr-CA"/>
        </w:rPr>
        <w:t xml:space="preserve">ch she spent </w:t>
      </w:r>
      <w:r w:rsidR="004A0D16">
        <w:rPr>
          <w:lang w:val="fr-CA"/>
        </w:rPr>
        <w:t xml:space="preserve">the </w:t>
      </w:r>
      <w:r w:rsidRPr="0049506C">
        <w:rPr>
          <w:lang w:val="fr-CA"/>
        </w:rPr>
        <w:t>winter:</w:t>
      </w:r>
      <w:r w:rsidR="0049506C" w:rsidRPr="0049506C">
        <w:rPr>
          <w:lang w:val="fr-CA"/>
        </w:rPr>
        <w:t xml:space="preserve"> </w:t>
      </w:r>
      <w:r w:rsidR="002B4179">
        <w:rPr>
          <w:lang w:val="fr-CA"/>
        </w:rPr>
        <w:t>“C’</w:t>
      </w:r>
      <w:r w:rsidR="0049506C" w:rsidRPr="00AD3B72">
        <w:rPr>
          <w:lang w:val="fr-CA"/>
        </w:rPr>
        <w:t>était mal éclairé, il y avait des ‘bibittes’ partout, ce n’était pas chauffé, j’avais l</w:t>
      </w:r>
      <w:r w:rsidR="0049506C">
        <w:rPr>
          <w:lang w:val="fr-CA"/>
        </w:rPr>
        <w:t>oué chauffé au propriétaire mais</w:t>
      </w:r>
      <w:r w:rsidR="0049506C" w:rsidRPr="00AD3B72">
        <w:rPr>
          <w:lang w:val="fr-CA"/>
        </w:rPr>
        <w:t xml:space="preserve"> on gelait comme des rats, j’avais les pieds bleus l’hiver, j’avais tellement mal aux chevilles que j’avais de la difficulté </w:t>
      </w:r>
      <w:r w:rsidR="0049506C">
        <w:rPr>
          <w:lang w:val="fr-CA"/>
        </w:rPr>
        <w:t>à marcher, puis j’avais froid.</w:t>
      </w:r>
      <w:r w:rsidR="0049506C" w:rsidRPr="0049506C">
        <w:rPr>
          <w:lang w:val="fr-CA"/>
        </w:rPr>
        <w:t>”</w:t>
      </w:r>
      <w:r w:rsidR="005104BC" w:rsidRPr="005104BC">
        <w:rPr>
          <w:vertAlign w:val="superscript"/>
        </w:rPr>
        <w:footnoteReference w:id="32"/>
      </w:r>
      <w:r w:rsidR="005104BC" w:rsidRPr="0049506C">
        <w:rPr>
          <w:lang w:val="fr-CA"/>
        </w:rPr>
        <w:t xml:space="preserve">  </w:t>
      </w:r>
      <w:r w:rsidR="005104BC" w:rsidRPr="005104BC">
        <w:t>At times, she exchanged sex for money, food or a place to stay.</w:t>
      </w:r>
      <w:r w:rsidR="005104BC" w:rsidRPr="005104BC">
        <w:rPr>
          <w:vertAlign w:val="superscript"/>
        </w:rPr>
        <w:footnoteReference w:id="33"/>
      </w:r>
      <w:r w:rsidR="005104BC" w:rsidRPr="005104BC">
        <w:t xml:space="preserve">  </w:t>
      </w:r>
      <w:r w:rsidR="00FD0827" w:rsidRPr="00186BE8">
        <w:rPr>
          <w:lang w:val="fr-CA"/>
        </w:rPr>
        <w:t>Ms. Gosselin testified t</w:t>
      </w:r>
      <w:r w:rsidR="00EF0708" w:rsidRPr="00186BE8">
        <w:rPr>
          <w:lang w:val="fr-CA"/>
        </w:rPr>
        <w:t>hat</w:t>
      </w:r>
      <w:r w:rsidR="0089451E" w:rsidRPr="00186BE8">
        <w:rPr>
          <w:lang w:val="fr-CA"/>
        </w:rPr>
        <w:t xml:space="preserve">, </w:t>
      </w:r>
      <w:r w:rsidR="004A0D16">
        <w:rPr>
          <w:lang w:val="fr-CA"/>
        </w:rPr>
        <w:t xml:space="preserve">of </w:t>
      </w:r>
      <w:r w:rsidR="0089451E" w:rsidRPr="00186BE8">
        <w:rPr>
          <w:lang w:val="fr-CA"/>
        </w:rPr>
        <w:t>all the things she</w:t>
      </w:r>
      <w:r w:rsidR="004A0D16">
        <w:rPr>
          <w:lang w:val="fr-CA"/>
        </w:rPr>
        <w:t xml:space="preserve"> lacked</w:t>
      </w:r>
      <w:r w:rsidR="0089451E" w:rsidRPr="00186BE8">
        <w:rPr>
          <w:lang w:val="fr-CA"/>
        </w:rPr>
        <w:t xml:space="preserve">, </w:t>
      </w:r>
      <w:r w:rsidR="00EF0708" w:rsidRPr="00186BE8">
        <w:rPr>
          <w:lang w:val="fr-CA"/>
        </w:rPr>
        <w:t>paid employment</w:t>
      </w:r>
      <w:r w:rsidR="00186BE8" w:rsidRPr="00186BE8">
        <w:rPr>
          <w:lang w:val="fr-CA"/>
        </w:rPr>
        <w:t xml:space="preserve"> is what she most</w:t>
      </w:r>
      <w:r w:rsidR="004A0D16">
        <w:rPr>
          <w:lang w:val="fr-CA"/>
        </w:rPr>
        <w:t xml:space="preserve"> wanted</w:t>
      </w:r>
      <w:r w:rsidR="00D32A41" w:rsidRPr="00186BE8">
        <w:rPr>
          <w:lang w:val="fr-CA"/>
        </w:rPr>
        <w:t>:</w:t>
      </w:r>
      <w:r w:rsidR="0049506C" w:rsidRPr="00186BE8">
        <w:rPr>
          <w:lang w:val="fr-CA"/>
        </w:rPr>
        <w:t xml:space="preserve"> “Des amis, avoir une vie sociale, avoir, travailler, ce n’est pas compliqué, moi tout ce que je pensais c’était avoir un travail.”</w:t>
      </w:r>
      <w:r w:rsidR="00D32A41" w:rsidRPr="005104BC">
        <w:rPr>
          <w:vertAlign w:val="superscript"/>
        </w:rPr>
        <w:footnoteReference w:id="34"/>
      </w:r>
      <w:r w:rsidR="00EF0708" w:rsidRPr="00186BE8">
        <w:rPr>
          <w:lang w:val="fr-CA"/>
        </w:rPr>
        <w:t xml:space="preserve">  </w:t>
      </w:r>
      <w:r w:rsidR="00EF0708">
        <w:t xml:space="preserve">But </w:t>
      </w:r>
      <w:r w:rsidR="005104BC" w:rsidRPr="005104BC">
        <w:t xml:space="preserve">finding and keeping </w:t>
      </w:r>
      <w:r w:rsidR="00EF0708">
        <w:t xml:space="preserve">work </w:t>
      </w:r>
      <w:r w:rsidR="00747E7F">
        <w:t>under such circumstances</w:t>
      </w:r>
      <w:r w:rsidR="00EF0708">
        <w:t xml:space="preserve"> was virtually impossible</w:t>
      </w:r>
      <w:r w:rsidR="005104BC" w:rsidRPr="005104BC">
        <w:t xml:space="preserve">: </w:t>
      </w:r>
    </w:p>
    <w:p w:rsidR="0055224C" w:rsidRDefault="0049506C" w:rsidP="0055224C">
      <w:pPr>
        <w:spacing w:line="240" w:lineRule="auto"/>
        <w:ind w:left="567" w:right="567"/>
        <w:rPr>
          <w:lang w:val="fr-CA"/>
        </w:rPr>
      </w:pPr>
      <w:r w:rsidRPr="00AD3B72">
        <w:rPr>
          <w:lang w:val="fr-CA"/>
        </w:rPr>
        <w:t xml:space="preserve">Bon il n’y a jamais personne qui m’a rappelée, j’étais incapable de me </w:t>
      </w:r>
      <w:r>
        <w:rPr>
          <w:lang w:val="fr-CA"/>
        </w:rPr>
        <w:t>pré</w:t>
      </w:r>
      <w:r w:rsidRPr="00AD3B72">
        <w:rPr>
          <w:lang w:val="fr-CA"/>
        </w:rPr>
        <w:t>senter convenablement devant un employe</w:t>
      </w:r>
      <w:r>
        <w:rPr>
          <w:lang w:val="fr-CA"/>
        </w:rPr>
        <w:t>u</w:t>
      </w:r>
      <w:r w:rsidRPr="00AD3B72">
        <w:rPr>
          <w:lang w:val="fr-CA"/>
        </w:rPr>
        <w:t>r puis de me vendre comme bonne ouvri</w:t>
      </w:r>
      <w:r>
        <w:rPr>
          <w:lang w:val="fr-CA"/>
        </w:rPr>
        <w:t>ère, j’étais complètement démunie au niveau de l’estime de moi-même puis au niveau de la confiance en moi, mes repas n’étaient pas équilibrés, ma vie sociale non plus, je n’avais absolument rien pour être en forme, pour pouvoir travailler premièrement là, alors souvent les endroits étaient complets</w:t>
      </w:r>
      <w:r w:rsidR="00C436F7" w:rsidRPr="0049506C">
        <w:rPr>
          <w:lang w:val="fr-CA"/>
        </w:rPr>
        <w:t>.</w:t>
      </w:r>
      <w:r w:rsidR="005104BC" w:rsidRPr="005104BC">
        <w:rPr>
          <w:vertAlign w:val="superscript"/>
        </w:rPr>
        <w:footnoteReference w:id="35"/>
      </w:r>
    </w:p>
    <w:p w:rsidR="00DF7CC8" w:rsidRPr="0049506C" w:rsidRDefault="00DF7CC8" w:rsidP="0055224C">
      <w:pPr>
        <w:spacing w:line="240" w:lineRule="auto"/>
        <w:ind w:left="567" w:right="567"/>
        <w:rPr>
          <w:lang w:val="fr-CA"/>
        </w:rPr>
      </w:pPr>
    </w:p>
    <w:p w:rsidR="00F45097" w:rsidRDefault="00F45097" w:rsidP="00DF7CC8">
      <w:pPr>
        <w:spacing w:line="480" w:lineRule="auto"/>
        <w:ind w:right="567" w:firstLine="360"/>
      </w:pPr>
      <w:r w:rsidRPr="00C779BC">
        <w:rPr>
          <w:lang w:val="fr-CA"/>
        </w:rPr>
        <w:t xml:space="preserve">Ms. Gosselin pointed out that: </w:t>
      </w:r>
      <w:r w:rsidRPr="00C779BC">
        <w:rPr>
          <w:iCs/>
          <w:lang w:val="fr-CA"/>
        </w:rPr>
        <w:t xml:space="preserve">“Le système d’aide social constitue le dernier recours des personnes dans le besoin.  </w:t>
      </w:r>
      <w:r w:rsidRPr="00BE7298">
        <w:rPr>
          <w:iCs/>
          <w:lang w:val="fr-CA"/>
        </w:rPr>
        <w:t>Pour être admissible aux prestations d’aide sociale, une personne doit être totalement privée de moyens de subsistance.  Ce n’est pas par c</w:t>
      </w:r>
      <w:r>
        <w:rPr>
          <w:iCs/>
          <w:lang w:val="fr-CA"/>
        </w:rPr>
        <w:t>hoix que ces personnes s’adressent à l’Était, c’est par nécessité absolue</w:t>
      </w:r>
      <w:r>
        <w:rPr>
          <w:lang w:val="fr-CA"/>
        </w:rPr>
        <w:t>.</w:t>
      </w:r>
      <w:r w:rsidRPr="00077190">
        <w:rPr>
          <w:lang w:val="fr-CA"/>
        </w:rPr>
        <w:t>”</w:t>
      </w:r>
      <w:r w:rsidRPr="005104BC">
        <w:rPr>
          <w:vertAlign w:val="superscript"/>
        </w:rPr>
        <w:footnoteReference w:id="36"/>
      </w:r>
      <w:r w:rsidRPr="00FB7684">
        <w:rPr>
          <w:lang w:val="fr-CA"/>
        </w:rPr>
        <w:t xml:space="preserve">  </w:t>
      </w:r>
      <w:r>
        <w:t xml:space="preserve">Ms. Gosselin alleged that, by reducing benefits for those under-30 far below the minimum the </w:t>
      </w:r>
      <w:r w:rsidR="005D5A1C">
        <w:t xml:space="preserve">Québec government </w:t>
      </w:r>
      <w:r>
        <w:t xml:space="preserve">itself had determined was required to meet an individual’s basic needs, the </w:t>
      </w:r>
      <w:r w:rsidRPr="00794DF3">
        <w:rPr>
          <w:i/>
        </w:rPr>
        <w:t>Regulation</w:t>
      </w:r>
      <w:r>
        <w:t xml:space="preserve"> infringed the physical, psychological and social security of the person of young welfare recipients in a manner not in accordance with the principles of fundamental justice.</w:t>
      </w:r>
      <w:r w:rsidRPr="005104BC">
        <w:rPr>
          <w:vertAlign w:val="superscript"/>
        </w:rPr>
        <w:footnoteReference w:id="37"/>
      </w:r>
      <w:r>
        <w:t xml:space="preserve">  Ms. Gosselin rejected the province’s argument that the availability of on-the-</w:t>
      </w:r>
      <w:r w:rsidRPr="00EC5283">
        <w:t>job training</w:t>
      </w:r>
      <w:r>
        <w:t>, community work and remedial education</w:t>
      </w:r>
      <w:r w:rsidRPr="00EC5283">
        <w:t xml:space="preserve"> programs</w:t>
      </w:r>
      <w:r>
        <w:t xml:space="preserve"> justified the </w:t>
      </w:r>
      <w:r w:rsidRPr="0010248C">
        <w:rPr>
          <w:i/>
        </w:rPr>
        <w:t>Regulation</w:t>
      </w:r>
      <w:r>
        <w:t xml:space="preserve"> under section 1 of the </w:t>
      </w:r>
      <w:r w:rsidRPr="00747E7F">
        <w:rPr>
          <w:i/>
        </w:rPr>
        <w:t>Charter</w:t>
      </w:r>
      <w:r>
        <w:t xml:space="preserve">, </w:t>
      </w:r>
      <w:r w:rsidRPr="002D7E25">
        <w:t>countering that</w:t>
      </w:r>
      <w:r>
        <w:t>,</w:t>
      </w:r>
      <w:r w:rsidRPr="002D7E25">
        <w:t xml:space="preserve"> even accepting the validity of the government’s objectives,</w:t>
      </w:r>
      <w:r w:rsidRPr="002D7E25">
        <w:rPr>
          <w:vertAlign w:val="superscript"/>
        </w:rPr>
        <w:footnoteReference w:id="38"/>
      </w:r>
      <w:r w:rsidRPr="002D7E25">
        <w:t xml:space="preserve"> the regime was n</w:t>
      </w:r>
      <w:r>
        <w:t>ot</w:t>
      </w:r>
      <w:r w:rsidRPr="002D7E25">
        <w:t xml:space="preserve"> </w:t>
      </w:r>
      <w:r>
        <w:t xml:space="preserve">a </w:t>
      </w:r>
      <w:r w:rsidRPr="002D7E25">
        <w:t>rational</w:t>
      </w:r>
      <w:r>
        <w:t>,</w:t>
      </w:r>
      <w:r w:rsidRPr="002D7E25">
        <w:rPr>
          <w:vertAlign w:val="superscript"/>
        </w:rPr>
        <w:footnoteReference w:id="39"/>
      </w:r>
      <w:r w:rsidRPr="002D7E25">
        <w:t xml:space="preserve"> minimal</w:t>
      </w:r>
      <w:r>
        <w:t>,</w:t>
      </w:r>
      <w:r w:rsidRPr="002D7E25">
        <w:rPr>
          <w:vertAlign w:val="superscript"/>
        </w:rPr>
        <w:footnoteReference w:id="40"/>
      </w:r>
      <w:r w:rsidRPr="002D7E25">
        <w:t xml:space="preserve"> or proportionate</w:t>
      </w:r>
      <w:r w:rsidRPr="002D7E25">
        <w:rPr>
          <w:vertAlign w:val="superscript"/>
        </w:rPr>
        <w:footnoteReference w:id="41"/>
      </w:r>
      <w:r w:rsidRPr="002D7E25">
        <w:t xml:space="preserve"> impairment of young welfare recipients’ equality or security of the person rights.</w:t>
      </w:r>
      <w:r>
        <w:t xml:space="preserve">  She asked the Court to declare the </w:t>
      </w:r>
      <w:r w:rsidRPr="004B5211">
        <w:rPr>
          <w:i/>
        </w:rPr>
        <w:t>Regulation</w:t>
      </w:r>
      <w:r>
        <w:t xml:space="preserve"> was unconstitutional and to order the </w:t>
      </w:r>
      <w:r w:rsidR="005D5A1C">
        <w:t xml:space="preserve">government </w:t>
      </w:r>
      <w:r>
        <w:t>to reimburse claimants the benefits they were denied during the relevant period, totalling roughly $389 million.</w:t>
      </w:r>
      <w:r w:rsidRPr="002D7E25">
        <w:rPr>
          <w:vertAlign w:val="superscript"/>
        </w:rPr>
        <w:footnoteReference w:id="42"/>
      </w:r>
    </w:p>
    <w:p w:rsidR="00DF7CC8" w:rsidRPr="00F45097" w:rsidRDefault="00DF7CC8" w:rsidP="00DF7CC8">
      <w:pPr>
        <w:spacing w:line="480" w:lineRule="auto"/>
        <w:ind w:right="567" w:firstLine="360"/>
      </w:pPr>
    </w:p>
    <w:p w:rsidR="002E14AE" w:rsidRPr="001C7421" w:rsidRDefault="00A8562C" w:rsidP="001C7421">
      <w:pPr>
        <w:pStyle w:val="Paragraphedeliste"/>
        <w:numPr>
          <w:ilvl w:val="0"/>
          <w:numId w:val="12"/>
        </w:numPr>
        <w:spacing w:line="480" w:lineRule="auto"/>
        <w:rPr>
          <w:b/>
        </w:rPr>
      </w:pPr>
      <w:r w:rsidRPr="001C7421">
        <w:rPr>
          <w:b/>
        </w:rPr>
        <w:t xml:space="preserve">The </w:t>
      </w:r>
      <w:r w:rsidR="002D7E25" w:rsidRPr="001C7421">
        <w:rPr>
          <w:b/>
        </w:rPr>
        <w:t xml:space="preserve">Lower Court </w:t>
      </w:r>
      <w:r w:rsidR="001C7421">
        <w:rPr>
          <w:b/>
        </w:rPr>
        <w:t>R</w:t>
      </w:r>
      <w:r w:rsidR="002E14AE" w:rsidRPr="001C7421">
        <w:rPr>
          <w:b/>
        </w:rPr>
        <w:t>ulings</w:t>
      </w:r>
      <w:r w:rsidRPr="001C7421">
        <w:rPr>
          <w:b/>
        </w:rPr>
        <w:t xml:space="preserve"> in </w:t>
      </w:r>
      <w:r w:rsidRPr="001C7421">
        <w:rPr>
          <w:b/>
          <w:i/>
        </w:rPr>
        <w:t>Gosselin</w:t>
      </w:r>
    </w:p>
    <w:p w:rsidR="005104BC" w:rsidRDefault="00B070EC" w:rsidP="002D7E25">
      <w:pPr>
        <w:spacing w:line="480" w:lineRule="auto"/>
        <w:ind w:firstLine="360"/>
      </w:pPr>
      <w:r>
        <w:t xml:space="preserve">In his1992 </w:t>
      </w:r>
      <w:r w:rsidR="005D5A1C">
        <w:t>Québec</w:t>
      </w:r>
      <w:r w:rsidR="00747E7F">
        <w:t xml:space="preserve"> Superior Court</w:t>
      </w:r>
      <w:r w:rsidR="002B4179">
        <w:t xml:space="preserve"> decision</w:t>
      </w:r>
      <w:r w:rsidR="002E14AE">
        <w:t>,</w:t>
      </w:r>
      <w:r w:rsidR="005104BC" w:rsidRPr="005104BC">
        <w:t xml:space="preserve"> Justice Reeves </w:t>
      </w:r>
      <w:r w:rsidR="004A419C">
        <w:t>conclude</w:t>
      </w:r>
      <w:r w:rsidR="00906DEA">
        <w:t xml:space="preserve">d </w:t>
      </w:r>
      <w:r w:rsidR="004A419C">
        <w:t xml:space="preserve">that </w:t>
      </w:r>
      <w:r w:rsidR="00902B9C">
        <w:t xml:space="preserve">Louise Gosselin’s evidence </w:t>
      </w:r>
      <w:r w:rsidR="004D156D">
        <w:t xml:space="preserve">was </w:t>
      </w:r>
      <w:r w:rsidR="00906DEA">
        <w:t xml:space="preserve">insufficient </w:t>
      </w:r>
      <w:r w:rsidR="004D156D">
        <w:t xml:space="preserve">to </w:t>
      </w:r>
      <w:r w:rsidR="00026F11">
        <w:t xml:space="preserve">support </w:t>
      </w:r>
      <w:r w:rsidR="00902B9C">
        <w:t xml:space="preserve">her </w:t>
      </w:r>
      <w:r w:rsidR="008874A0" w:rsidRPr="008874A0">
        <w:rPr>
          <w:i/>
        </w:rPr>
        <w:t>Charter</w:t>
      </w:r>
      <w:r w:rsidR="008874A0">
        <w:t xml:space="preserve"> </w:t>
      </w:r>
      <w:r w:rsidR="00906DEA">
        <w:t>claim</w:t>
      </w:r>
      <w:r w:rsidR="004D156D">
        <w:t>.</w:t>
      </w:r>
      <w:r w:rsidR="002B4179" w:rsidRPr="005104BC">
        <w:rPr>
          <w:vertAlign w:val="superscript"/>
        </w:rPr>
        <w:footnoteReference w:id="43"/>
      </w:r>
      <w:r w:rsidR="004D156D">
        <w:t xml:space="preserve"> </w:t>
      </w:r>
      <w:r w:rsidR="00902B9C">
        <w:t xml:space="preserve"> Justice Reeves</w:t>
      </w:r>
      <w:r w:rsidR="00BA35AB" w:rsidRPr="00BA35AB">
        <w:t xml:space="preserve"> took issue </w:t>
      </w:r>
      <w:r w:rsidR="00902B9C">
        <w:t>wit</w:t>
      </w:r>
      <w:r w:rsidR="00EF0708">
        <w:t xml:space="preserve">h the fact </w:t>
      </w:r>
      <w:r w:rsidR="00186BE8">
        <w:t xml:space="preserve">that </w:t>
      </w:r>
      <w:r w:rsidR="00EF0708">
        <w:t xml:space="preserve">Ms. Gosselin </w:t>
      </w:r>
      <w:r w:rsidR="00BA35AB" w:rsidRPr="00BA35AB">
        <w:t>was the only witness on behalf of the entire class of welfare recipient</w:t>
      </w:r>
      <w:r w:rsidR="00902B9C">
        <w:t>s affected by the reduced rate</w:t>
      </w:r>
      <w:r w:rsidR="00D13CF4">
        <w:t>,</w:t>
      </w:r>
      <w:r w:rsidR="00902B9C">
        <w:t xml:space="preserve"> and he accepted</w:t>
      </w:r>
      <w:r w:rsidR="0058543D">
        <w:t xml:space="preserve"> the gove</w:t>
      </w:r>
      <w:r w:rsidR="00902B9C">
        <w:t xml:space="preserve">rnment’s characterization of the </w:t>
      </w:r>
      <w:r w:rsidR="0058543D">
        <w:t xml:space="preserve">expert reports and evidence </w:t>
      </w:r>
      <w:r w:rsidR="00902B9C">
        <w:t xml:space="preserve">submitted in relation </w:t>
      </w:r>
      <w:r w:rsidR="00A94F9E">
        <w:t xml:space="preserve">to the circumstances of </w:t>
      </w:r>
      <w:r w:rsidR="00B76652">
        <w:t xml:space="preserve">other </w:t>
      </w:r>
      <w:r w:rsidR="00BA35AB">
        <w:t xml:space="preserve">young welfare recipients </w:t>
      </w:r>
      <w:r w:rsidR="0058543D">
        <w:t>as hearsay.</w:t>
      </w:r>
      <w:r w:rsidR="00A94F9E" w:rsidRPr="005104BC">
        <w:rPr>
          <w:vertAlign w:val="superscript"/>
        </w:rPr>
        <w:footnoteReference w:id="44"/>
      </w:r>
      <w:r w:rsidR="0058543D">
        <w:t xml:space="preserve">  </w:t>
      </w:r>
      <w:r w:rsidR="00A94F9E">
        <w:t>Justice Reeves also criticized the</w:t>
      </w:r>
      <w:r w:rsidR="0058543D">
        <w:t xml:space="preserve"> </w:t>
      </w:r>
      <w:r w:rsidR="00A94F9E">
        <w:t xml:space="preserve">lack of </w:t>
      </w:r>
      <w:r w:rsidR="005104BC" w:rsidRPr="005104BC">
        <w:t xml:space="preserve">evidence </w:t>
      </w:r>
      <w:r w:rsidR="00902B9C">
        <w:t xml:space="preserve">about </w:t>
      </w:r>
      <w:r w:rsidR="005104BC" w:rsidRPr="005104BC">
        <w:t xml:space="preserve">the </w:t>
      </w:r>
      <w:r w:rsidR="003939B9">
        <w:t xml:space="preserve">comparative situation </w:t>
      </w:r>
      <w:r w:rsidR="005104BC" w:rsidRPr="005104BC">
        <w:t>of recipients over the age of</w:t>
      </w:r>
      <w:r w:rsidR="00C436F7">
        <w:t xml:space="preserve"> 30</w:t>
      </w:r>
      <w:r w:rsidR="005104BC" w:rsidRPr="005104BC">
        <w:t xml:space="preserve">, who received the full </w:t>
      </w:r>
      <w:r w:rsidR="00BE402B">
        <w:t xml:space="preserve">basic needs </w:t>
      </w:r>
      <w:r w:rsidR="002B4179">
        <w:t>amount</w:t>
      </w:r>
      <w:r w:rsidR="005104BC" w:rsidRPr="005104BC">
        <w:t>.</w:t>
      </w:r>
      <w:r w:rsidR="005104BC" w:rsidRPr="005104BC">
        <w:rPr>
          <w:vertAlign w:val="superscript"/>
        </w:rPr>
        <w:footnoteReference w:id="45"/>
      </w:r>
      <w:r w:rsidR="00C436F7">
        <w:t xml:space="preserve">  In terms of Ms. Gosselin’</w:t>
      </w:r>
      <w:r w:rsidR="005104BC" w:rsidRPr="005104BC">
        <w:t xml:space="preserve">s substantive arguments, Justice Reeves found that the </w:t>
      </w:r>
      <w:r w:rsidR="002B4179">
        <w:t xml:space="preserve">section 7 </w:t>
      </w:r>
      <w:r w:rsidR="005104BC" w:rsidRPr="005104BC">
        <w:t>right to life, liberty and security of the person did not include a positive right to social assistance from the state.</w:t>
      </w:r>
      <w:r w:rsidR="005104BC" w:rsidRPr="005104BC">
        <w:rPr>
          <w:vertAlign w:val="superscript"/>
        </w:rPr>
        <w:footnoteReference w:id="46"/>
      </w:r>
      <w:r w:rsidR="005104BC" w:rsidRPr="005104BC">
        <w:t xml:space="preserve">   He also </w:t>
      </w:r>
      <w:r w:rsidR="003939B9">
        <w:t>hel</w:t>
      </w:r>
      <w:r w:rsidR="005104BC" w:rsidRPr="005104BC">
        <w:t xml:space="preserve">d that the </w:t>
      </w:r>
      <w:r w:rsidR="003939B9" w:rsidRPr="003939B9">
        <w:rPr>
          <w:i/>
        </w:rPr>
        <w:t>Regulation</w:t>
      </w:r>
      <w:r w:rsidR="003939B9">
        <w:t xml:space="preserve"> </w:t>
      </w:r>
      <w:r w:rsidR="005104BC" w:rsidRPr="005104BC">
        <w:t xml:space="preserve">was not discriminatory under section 15 of the </w:t>
      </w:r>
      <w:r w:rsidR="005104BC" w:rsidRPr="005104BC">
        <w:rPr>
          <w:i/>
          <w:iCs/>
        </w:rPr>
        <w:t>Charter</w:t>
      </w:r>
      <w:r w:rsidR="005104BC" w:rsidRPr="005104BC">
        <w:t xml:space="preserve">, since recipients could obtain parity of benefits by participating in the available education and job training programs, and </w:t>
      </w:r>
      <w:r w:rsidR="0006488D">
        <w:t>becaus</w:t>
      </w:r>
      <w:r w:rsidR="005104BC" w:rsidRPr="005104BC">
        <w:t>e the differential regime reflected the actual charac</w:t>
      </w:r>
      <w:r w:rsidR="008874A0">
        <w:t>teristics of the targeted group</w:t>
      </w:r>
      <w:r w:rsidR="005104BC" w:rsidRPr="005104BC">
        <w:t xml:space="preserve"> and was designed to promote the beneficial objective of encouraging young welfare recipients to become financially independent.</w:t>
      </w:r>
      <w:r w:rsidR="005104BC" w:rsidRPr="005104BC">
        <w:rPr>
          <w:vertAlign w:val="superscript"/>
        </w:rPr>
        <w:footnoteReference w:id="47"/>
      </w:r>
    </w:p>
    <w:p w:rsidR="000F5CCC" w:rsidRDefault="00B070EC" w:rsidP="000F5CCC">
      <w:pPr>
        <w:spacing w:line="480" w:lineRule="auto"/>
        <w:ind w:firstLine="720"/>
      </w:pPr>
      <w:r>
        <w:t>In</w:t>
      </w:r>
      <w:r w:rsidR="00147A3C">
        <w:t xml:space="preserve"> 1999</w:t>
      </w:r>
      <w:r w:rsidR="00184572">
        <w:t xml:space="preserve">, the </w:t>
      </w:r>
      <w:r w:rsidR="005D5A1C">
        <w:t>Québec</w:t>
      </w:r>
      <w:r w:rsidR="00184572">
        <w:t xml:space="preserve"> Court of Appeal </w:t>
      </w:r>
      <w:r w:rsidR="005D3387">
        <w:t>dismiss</w:t>
      </w:r>
      <w:r w:rsidR="00184572">
        <w:t>ed</w:t>
      </w:r>
      <w:r w:rsidR="005D3387">
        <w:t xml:space="preserve"> Louise Gosselin’s appeal</w:t>
      </w:r>
      <w:r w:rsidR="00184572">
        <w:t xml:space="preserve">.  </w:t>
      </w:r>
      <w:r w:rsidR="00147A3C">
        <w:t xml:space="preserve">Justices Mailhot, Baudouin and Robert </w:t>
      </w:r>
      <w:r w:rsidR="000F5CCC">
        <w:t xml:space="preserve">agreed with </w:t>
      </w:r>
      <w:r w:rsidR="001E16F5">
        <w:t xml:space="preserve">Justice Reeves </w:t>
      </w:r>
      <w:r w:rsidR="00C436F7">
        <w:t xml:space="preserve">that </w:t>
      </w:r>
      <w:r w:rsidR="00D13CF4">
        <w:t>Louise</w:t>
      </w:r>
      <w:r w:rsidR="00C436F7">
        <w:t xml:space="preserve"> </w:t>
      </w:r>
      <w:r w:rsidR="005D3387">
        <w:t xml:space="preserve">Gosselin’s claim </w:t>
      </w:r>
      <w:r w:rsidR="00184572">
        <w:t xml:space="preserve">to an adequate level of assistance </w:t>
      </w:r>
      <w:r w:rsidR="005D3387">
        <w:t xml:space="preserve">involved an </w:t>
      </w:r>
      <w:r w:rsidR="008874A0">
        <w:t xml:space="preserve">economic right </w:t>
      </w:r>
      <w:r w:rsidR="001E16F5">
        <w:t xml:space="preserve">that was not included </w:t>
      </w:r>
      <w:r w:rsidR="000016A0">
        <w:t xml:space="preserve">in </w:t>
      </w:r>
      <w:r w:rsidR="00147A3C">
        <w:t>section 7</w:t>
      </w:r>
      <w:r w:rsidR="005104BC" w:rsidRPr="005104BC">
        <w:t>.</w:t>
      </w:r>
      <w:r w:rsidR="005104BC" w:rsidRPr="005104BC">
        <w:rPr>
          <w:vertAlign w:val="superscript"/>
        </w:rPr>
        <w:footnoteReference w:id="48"/>
      </w:r>
      <w:r w:rsidR="005104BC" w:rsidRPr="005104BC">
        <w:t xml:space="preserve">  </w:t>
      </w:r>
      <w:r w:rsidR="0017788D">
        <w:t>With regard to</w:t>
      </w:r>
      <w:r w:rsidR="000F5CCC">
        <w:t xml:space="preserve"> </w:t>
      </w:r>
      <w:r w:rsidR="002E4DEB">
        <w:t xml:space="preserve">Ms. Gosselin’s </w:t>
      </w:r>
      <w:r w:rsidR="006A307A">
        <w:t>section 15</w:t>
      </w:r>
      <w:r w:rsidR="002E4DEB">
        <w:t xml:space="preserve"> argument</w:t>
      </w:r>
      <w:r w:rsidR="00D13CF4">
        <w:t>,</w:t>
      </w:r>
      <w:r w:rsidR="005104BC" w:rsidRPr="005104BC">
        <w:t xml:space="preserve"> Justice Mailhot </w:t>
      </w:r>
      <w:r w:rsidR="000F5CCC">
        <w:t xml:space="preserve">decided </w:t>
      </w:r>
      <w:r w:rsidR="001E16F5">
        <w:t xml:space="preserve">that </w:t>
      </w:r>
      <w:r w:rsidR="005104BC" w:rsidRPr="005104BC">
        <w:t>the differential regime</w:t>
      </w:r>
      <w:r w:rsidR="001E16F5">
        <w:t>, taken as a whole,</w:t>
      </w:r>
      <w:r w:rsidR="005104BC" w:rsidRPr="005104BC">
        <w:t xml:space="preserve"> did not have a disadvantageous impact on young welfare recipients</w:t>
      </w:r>
      <w:r w:rsidR="006A307A">
        <w:t>.</w:t>
      </w:r>
      <w:r w:rsidR="005104BC" w:rsidRPr="005104BC">
        <w:rPr>
          <w:vertAlign w:val="superscript"/>
        </w:rPr>
        <w:footnoteReference w:id="49"/>
      </w:r>
      <w:r w:rsidR="005104BC" w:rsidRPr="005104BC">
        <w:t xml:space="preserve"> </w:t>
      </w:r>
      <w:r w:rsidR="006A307A">
        <w:t xml:space="preserve"> </w:t>
      </w:r>
      <w:r w:rsidR="005104BC" w:rsidRPr="005104BC">
        <w:t xml:space="preserve">Justice Baudouin </w:t>
      </w:r>
      <w:r w:rsidR="00AD32E3">
        <w:t>foun</w:t>
      </w:r>
      <w:r w:rsidR="001E16F5">
        <w:t>d</w:t>
      </w:r>
      <w:r w:rsidR="00926FCC">
        <w:t xml:space="preserve"> </w:t>
      </w:r>
      <w:r w:rsidR="005D3387">
        <w:t xml:space="preserve">the </w:t>
      </w:r>
      <w:r w:rsidR="005D3387" w:rsidRPr="005D3387">
        <w:rPr>
          <w:i/>
        </w:rPr>
        <w:t>Regulation</w:t>
      </w:r>
      <w:r w:rsidR="005D3387">
        <w:t xml:space="preserve"> </w:t>
      </w:r>
      <w:r w:rsidR="00435FEE">
        <w:t xml:space="preserve">discriminated </w:t>
      </w:r>
      <w:r w:rsidR="000016A0">
        <w:t xml:space="preserve">based on </w:t>
      </w:r>
      <w:r w:rsidR="00435FEE">
        <w:t>age</w:t>
      </w:r>
      <w:r w:rsidR="006A307A">
        <w:t xml:space="preserve">, </w:t>
      </w:r>
      <w:r w:rsidR="001E16F5">
        <w:t xml:space="preserve">but was </w:t>
      </w:r>
      <w:r w:rsidR="000F5CCC">
        <w:t>sav</w:t>
      </w:r>
      <w:r w:rsidR="001E16F5">
        <w:t xml:space="preserve">ed </w:t>
      </w:r>
      <w:r w:rsidR="000F5CCC">
        <w:t>by</w:t>
      </w:r>
      <w:r w:rsidR="005104BC" w:rsidRPr="005104BC">
        <w:t xml:space="preserve"> section </w:t>
      </w:r>
      <w:r w:rsidR="001E16F5">
        <w:t>1</w:t>
      </w:r>
      <w:r w:rsidR="005104BC" w:rsidRPr="005104BC">
        <w:t>.</w:t>
      </w:r>
      <w:r w:rsidR="005104BC" w:rsidRPr="005104BC">
        <w:rPr>
          <w:vertAlign w:val="superscript"/>
        </w:rPr>
        <w:footnoteReference w:id="50"/>
      </w:r>
      <w:r w:rsidR="00DC37CF">
        <w:t xml:space="preserve">  Justice Robert </w:t>
      </w:r>
      <w:r w:rsidR="000F5CCC">
        <w:t xml:space="preserve">also found </w:t>
      </w:r>
      <w:r w:rsidR="002D0D14">
        <w:t xml:space="preserve">the reduced rate </w:t>
      </w:r>
      <w:r w:rsidR="0017788D">
        <w:t>was age-</w:t>
      </w:r>
      <w:r w:rsidR="000016A0">
        <w:t>d</w:t>
      </w:r>
      <w:r w:rsidR="00A8562C">
        <w:t>iscriminatory</w:t>
      </w:r>
      <w:r w:rsidR="0017788D">
        <w:t>.</w:t>
      </w:r>
      <w:r w:rsidR="002D0D14" w:rsidRPr="005104BC">
        <w:rPr>
          <w:vertAlign w:val="superscript"/>
        </w:rPr>
        <w:footnoteReference w:id="51"/>
      </w:r>
      <w:r w:rsidR="00A8562C">
        <w:t xml:space="preserve"> </w:t>
      </w:r>
      <w:r w:rsidR="0017788D">
        <w:t xml:space="preserve"> B</w:t>
      </w:r>
      <w:r w:rsidR="000016A0">
        <w:t>ut</w:t>
      </w:r>
      <w:r w:rsidR="0017788D">
        <w:t>, contrary to Justice Baudoin, he</w:t>
      </w:r>
      <w:r w:rsidR="00926FCC">
        <w:t xml:space="preserve"> concluded the </w:t>
      </w:r>
      <w:r w:rsidR="00926FCC" w:rsidRPr="00926FCC">
        <w:rPr>
          <w:i/>
        </w:rPr>
        <w:t>Regulation</w:t>
      </w:r>
      <w:r w:rsidR="00926FCC">
        <w:t xml:space="preserve"> </w:t>
      </w:r>
      <w:r w:rsidR="008874A0">
        <w:t xml:space="preserve">could not be </w:t>
      </w:r>
      <w:r w:rsidR="000F5CCC">
        <w:t>justified under</w:t>
      </w:r>
      <w:r w:rsidR="001E16F5">
        <w:t xml:space="preserve"> </w:t>
      </w:r>
      <w:r w:rsidR="008874A0">
        <w:t>s</w:t>
      </w:r>
      <w:r w:rsidR="0013635C">
        <w:t>ection 1</w:t>
      </w:r>
      <w:r w:rsidR="0017788D">
        <w:t xml:space="preserve"> of the </w:t>
      </w:r>
      <w:r w:rsidR="0017788D" w:rsidRPr="0017788D">
        <w:rPr>
          <w:i/>
        </w:rPr>
        <w:t>Charter</w:t>
      </w:r>
      <w:r w:rsidR="00AD32E3">
        <w:t>,</w:t>
      </w:r>
      <w:r w:rsidR="00F133A0">
        <w:t xml:space="preserve"> since the </w:t>
      </w:r>
      <w:r w:rsidR="00F133A0" w:rsidRPr="005104BC">
        <w:t xml:space="preserve">purported benefit of inciting young people to move off social assistance </w:t>
      </w:r>
      <w:r w:rsidR="003B4242">
        <w:t>did not</w:t>
      </w:r>
      <w:r w:rsidR="001E16F5">
        <w:t xml:space="preserve"> </w:t>
      </w:r>
      <w:r w:rsidR="003B4242">
        <w:t xml:space="preserve">outweigh the </w:t>
      </w:r>
      <w:r w:rsidR="000F79B1">
        <w:t xml:space="preserve">severe </w:t>
      </w:r>
      <w:r w:rsidR="00F133A0">
        <w:t xml:space="preserve">negative </w:t>
      </w:r>
      <w:r w:rsidR="00F133A0" w:rsidRPr="005104BC">
        <w:t>effects</w:t>
      </w:r>
      <w:r w:rsidR="003B4242">
        <w:t xml:space="preserve"> of the regime</w:t>
      </w:r>
      <w:r w:rsidR="00F133A0" w:rsidRPr="005104BC">
        <w:t>.</w:t>
      </w:r>
      <w:r w:rsidR="00F133A0" w:rsidRPr="005104BC">
        <w:rPr>
          <w:vertAlign w:val="superscript"/>
        </w:rPr>
        <w:footnoteReference w:id="52"/>
      </w:r>
      <w:r w:rsidR="000223D9">
        <w:t xml:space="preserve">  </w:t>
      </w:r>
    </w:p>
    <w:p w:rsidR="0017788D" w:rsidRPr="000F5CCC" w:rsidRDefault="0017788D" w:rsidP="000F5CCC">
      <w:pPr>
        <w:spacing w:line="480" w:lineRule="auto"/>
        <w:ind w:firstLine="720"/>
      </w:pPr>
    </w:p>
    <w:p w:rsidR="005104BC" w:rsidRPr="001C7421" w:rsidRDefault="002C7585" w:rsidP="001C7421">
      <w:pPr>
        <w:pStyle w:val="Paragraphedeliste"/>
        <w:numPr>
          <w:ilvl w:val="0"/>
          <w:numId w:val="12"/>
        </w:numPr>
        <w:spacing w:line="480" w:lineRule="auto"/>
        <w:rPr>
          <w:b/>
          <w:bCs/>
          <w:i/>
          <w:iCs/>
        </w:rPr>
      </w:pPr>
      <w:r w:rsidRPr="001C7421">
        <w:rPr>
          <w:b/>
          <w:bCs/>
        </w:rPr>
        <w:t>T</w:t>
      </w:r>
      <w:r w:rsidR="005104BC" w:rsidRPr="001C7421">
        <w:rPr>
          <w:b/>
          <w:bCs/>
        </w:rPr>
        <w:t xml:space="preserve">he </w:t>
      </w:r>
      <w:r w:rsidR="001B1C0E" w:rsidRPr="001C7421">
        <w:rPr>
          <w:b/>
          <w:bCs/>
        </w:rPr>
        <w:t>Supreme Court</w:t>
      </w:r>
      <w:r w:rsidR="00482AFA">
        <w:rPr>
          <w:b/>
          <w:bCs/>
        </w:rPr>
        <w:t xml:space="preserve"> of Canada</w:t>
      </w:r>
      <w:r w:rsidR="002D7E25" w:rsidRPr="001C7421">
        <w:rPr>
          <w:b/>
          <w:bCs/>
        </w:rPr>
        <w:t xml:space="preserve">’s </w:t>
      </w:r>
      <w:r w:rsidR="001C7421">
        <w:rPr>
          <w:b/>
          <w:bCs/>
        </w:rPr>
        <w:t>J</w:t>
      </w:r>
      <w:r w:rsidR="00346148" w:rsidRPr="001C7421">
        <w:rPr>
          <w:b/>
          <w:bCs/>
        </w:rPr>
        <w:t xml:space="preserve">udgment in </w:t>
      </w:r>
      <w:r w:rsidR="00346148" w:rsidRPr="001C7421">
        <w:rPr>
          <w:b/>
          <w:bCs/>
          <w:i/>
        </w:rPr>
        <w:t>Gosselin</w:t>
      </w:r>
    </w:p>
    <w:p w:rsidR="003074A1" w:rsidRDefault="005104BC" w:rsidP="003074A1">
      <w:pPr>
        <w:spacing w:line="480" w:lineRule="auto"/>
        <w:ind w:firstLine="360"/>
      </w:pPr>
      <w:r w:rsidRPr="005104BC">
        <w:t xml:space="preserve">In her </w:t>
      </w:r>
      <w:r w:rsidR="006015F6">
        <w:t xml:space="preserve">2002 </w:t>
      </w:r>
      <w:r w:rsidRPr="005104BC">
        <w:t>judgmen</w:t>
      </w:r>
      <w:r w:rsidR="003074A1">
        <w:t xml:space="preserve">t for the majority of the </w:t>
      </w:r>
      <w:r w:rsidR="00482AFA">
        <w:t xml:space="preserve">Supreme </w:t>
      </w:r>
      <w:r w:rsidR="003074A1">
        <w:t>Court</w:t>
      </w:r>
      <w:r w:rsidR="00482AFA">
        <w:t xml:space="preserve">, </w:t>
      </w:r>
      <w:r w:rsidRPr="005104BC">
        <w:t>Chief Justic</w:t>
      </w:r>
      <w:r w:rsidR="00CF34F6">
        <w:t>e McLachlin</w:t>
      </w:r>
      <w:r w:rsidR="003074A1">
        <w:t xml:space="preserve">, joined by Justices </w:t>
      </w:r>
      <w:r w:rsidR="003074A1" w:rsidRPr="003074A1">
        <w:t>Gonthier, Iacobucci, Major and Binnie</w:t>
      </w:r>
      <w:r w:rsidR="003074A1">
        <w:t>,</w:t>
      </w:r>
      <w:r w:rsidR="003074A1" w:rsidRPr="003074A1">
        <w:t xml:space="preserve"> </w:t>
      </w:r>
      <w:r w:rsidR="00370209">
        <w:t xml:space="preserve">upheld the lower and appeal court </w:t>
      </w:r>
      <w:r w:rsidR="0068347A">
        <w:t>ruling</w:t>
      </w:r>
      <w:r w:rsidR="00370209">
        <w:t xml:space="preserve">s on the constitutionality of the </w:t>
      </w:r>
      <w:r w:rsidR="00370209" w:rsidRPr="00F12712">
        <w:rPr>
          <w:i/>
        </w:rPr>
        <w:t>Regulation</w:t>
      </w:r>
      <w:r w:rsidR="00370209">
        <w:t xml:space="preserve"> and dismissed Louise Gosselin’s appeal</w:t>
      </w:r>
      <w:r w:rsidR="00783C5E">
        <w:t>.</w:t>
      </w:r>
      <w:r w:rsidR="00144490" w:rsidRPr="005104BC">
        <w:rPr>
          <w:vertAlign w:val="superscript"/>
        </w:rPr>
        <w:footnoteReference w:id="53"/>
      </w:r>
      <w:r w:rsidR="00783C5E">
        <w:t xml:space="preserve">  </w:t>
      </w:r>
      <w:r w:rsidR="003074A1">
        <w:t>The Chief Justice</w:t>
      </w:r>
      <w:r w:rsidR="00F45F2E">
        <w:t xml:space="preserve"> rejected </w:t>
      </w:r>
      <w:r w:rsidR="002D0D14">
        <w:t xml:space="preserve">Ms. </w:t>
      </w:r>
      <w:r w:rsidR="00F45F2E">
        <w:t>Gosselin’s</w:t>
      </w:r>
      <w:r w:rsidR="00F45F2E" w:rsidRPr="005104BC">
        <w:t xml:space="preserve"> </w:t>
      </w:r>
      <w:r w:rsidR="00F45F2E">
        <w:t xml:space="preserve">argument </w:t>
      </w:r>
      <w:r w:rsidR="00370209">
        <w:t xml:space="preserve">that the reduced benefit amount for those under-30 </w:t>
      </w:r>
      <w:r w:rsidR="00F45F2E">
        <w:t>violated sec</w:t>
      </w:r>
      <w:r w:rsidR="004C178F">
        <w:t>tion 15</w:t>
      </w:r>
      <w:r w:rsidR="002D0D14">
        <w:t xml:space="preserve"> of the Canadian </w:t>
      </w:r>
      <w:r w:rsidR="002D0D14" w:rsidRPr="002D0D14">
        <w:rPr>
          <w:i/>
        </w:rPr>
        <w:t>Charter</w:t>
      </w:r>
      <w:r w:rsidR="002D0D14">
        <w:t>, on the grounds</w:t>
      </w:r>
      <w:r w:rsidR="004C178F">
        <w:t xml:space="preserve"> </w:t>
      </w:r>
      <w:r w:rsidR="00F45F2E" w:rsidRPr="005104BC">
        <w:t xml:space="preserve">that </w:t>
      </w:r>
      <w:r w:rsidR="00370209">
        <w:t>the differential regime</w:t>
      </w:r>
      <w:r w:rsidR="00F45F2E">
        <w:t xml:space="preserve"> </w:t>
      </w:r>
      <w:r w:rsidR="00F45F2E" w:rsidRPr="005104BC">
        <w:t>was designed to enhance the dignity of you</w:t>
      </w:r>
      <w:r w:rsidR="00F45F2E">
        <w:t>ng welfare recipients</w:t>
      </w:r>
      <w:r w:rsidR="00F45F2E" w:rsidRPr="005104BC">
        <w:t>.</w:t>
      </w:r>
      <w:r w:rsidR="00F45F2E" w:rsidRPr="005104BC">
        <w:rPr>
          <w:vertAlign w:val="superscript"/>
        </w:rPr>
        <w:footnoteReference w:id="54"/>
      </w:r>
      <w:r w:rsidR="00F45F2E">
        <w:t xml:space="preserve">  In her view: “The age-base distinction was made for an ameliorative, non-discriminatory purpose and its social and economic thrust and impact were directed to enhancing the position of young people in society by placing them in a better position to find employment and live fuller, more independent lives.”</w:t>
      </w:r>
      <w:r w:rsidR="00F45F2E" w:rsidRPr="005104BC">
        <w:rPr>
          <w:vertAlign w:val="superscript"/>
        </w:rPr>
        <w:footnoteReference w:id="55"/>
      </w:r>
      <w:r w:rsidR="003074A1">
        <w:t xml:space="preserve">  </w:t>
      </w:r>
      <w:r w:rsidR="00F45F2E">
        <w:t xml:space="preserve">The Chief Justice also rejected </w:t>
      </w:r>
      <w:r w:rsidR="00370209">
        <w:t xml:space="preserve">Ms. </w:t>
      </w:r>
      <w:r w:rsidR="00F45F2E">
        <w:t xml:space="preserve">Gosselin’s section 7 claim.  On the </w:t>
      </w:r>
      <w:r w:rsidR="004C178F">
        <w:t xml:space="preserve">broader question </w:t>
      </w:r>
      <w:r w:rsidR="00783C5E">
        <w:t xml:space="preserve">of whether </w:t>
      </w:r>
      <w:r w:rsidR="00215F90">
        <w:t>“the right to a level of assistance sufficient to meet basic needs”</w:t>
      </w:r>
      <w:r w:rsidR="00144490" w:rsidRPr="005104BC">
        <w:rPr>
          <w:vertAlign w:val="superscript"/>
        </w:rPr>
        <w:footnoteReference w:id="56"/>
      </w:r>
      <w:r w:rsidR="00215F90">
        <w:t xml:space="preserve"> </w:t>
      </w:r>
      <w:r w:rsidR="00144490">
        <w:t>fell</w:t>
      </w:r>
      <w:r w:rsidR="00215F90">
        <w:t xml:space="preserve"> within sectio</w:t>
      </w:r>
      <w:r w:rsidR="00A160C3">
        <w:t xml:space="preserve">n 7, </w:t>
      </w:r>
      <w:r w:rsidR="00981EE2">
        <w:t xml:space="preserve">she </w:t>
      </w:r>
      <w:r w:rsidR="00A160C3">
        <w:t>opined</w:t>
      </w:r>
      <w:r w:rsidR="00CB6BF1">
        <w:t xml:space="preserve"> that:</w:t>
      </w:r>
      <w:r w:rsidR="00CF34F6">
        <w:t xml:space="preserve"> </w:t>
      </w:r>
      <w:r w:rsidR="003939B9">
        <w:t>“O</w:t>
      </w:r>
      <w:r w:rsidR="001205AE">
        <w:t>ne day s. 7 may be interpreted to include positive obligations</w:t>
      </w:r>
      <w:r w:rsidR="00CB6BF1">
        <w:t>.</w:t>
      </w:r>
      <w:r w:rsidR="001205AE">
        <w:t>”</w:t>
      </w:r>
      <w:r w:rsidR="00144490" w:rsidRPr="005104BC">
        <w:rPr>
          <w:vertAlign w:val="superscript"/>
        </w:rPr>
        <w:footnoteReference w:id="57"/>
      </w:r>
      <w:r w:rsidR="00CB6BF1">
        <w:t xml:space="preserve">  However</w:t>
      </w:r>
      <w:r w:rsidR="00981EE2">
        <w:t xml:space="preserve">, upholding Justice Reeves decision at trial, the Chief Justice </w:t>
      </w:r>
      <w:r w:rsidR="00370209">
        <w:t>foun</w:t>
      </w:r>
      <w:r w:rsidR="007718E3">
        <w:t xml:space="preserve">d there </w:t>
      </w:r>
      <w:r w:rsidR="00FA5984">
        <w:t>was insufficient</w:t>
      </w:r>
      <w:r w:rsidR="00D95E2D">
        <w:t xml:space="preserve"> </w:t>
      </w:r>
      <w:r w:rsidR="007718E3">
        <w:t xml:space="preserve">evidence </w:t>
      </w:r>
      <w:r w:rsidR="00D95E2D">
        <w:t>to support</w:t>
      </w:r>
      <w:r w:rsidR="00507E3B">
        <w:t xml:space="preserve"> such a claim in </w:t>
      </w:r>
      <w:r w:rsidR="00CB6BF1">
        <w:t xml:space="preserve">Louise Gosselin’s </w:t>
      </w:r>
      <w:r w:rsidR="00507E3B">
        <w:t>case</w:t>
      </w:r>
      <w:r w:rsidR="007718E3">
        <w:t>.</w:t>
      </w:r>
      <w:r w:rsidRPr="005104BC">
        <w:rPr>
          <w:vertAlign w:val="superscript"/>
        </w:rPr>
        <w:footnoteReference w:id="58"/>
      </w:r>
      <w:r w:rsidRPr="005104BC">
        <w:t xml:space="preserve">  </w:t>
      </w:r>
    </w:p>
    <w:p w:rsidR="00AC1A5E" w:rsidRDefault="00346148" w:rsidP="00AC1A5E">
      <w:pPr>
        <w:spacing w:line="480" w:lineRule="auto"/>
        <w:ind w:firstLine="720"/>
      </w:pPr>
      <w:r>
        <w:t xml:space="preserve">In contrast to the majority, Justices Bastarache, LeBel, Arbour and L’Heureux-Dubé </w:t>
      </w:r>
      <w:r w:rsidR="00981EE2">
        <w:t>agreed with Ms. Gosselin</w:t>
      </w:r>
      <w:r>
        <w:t xml:space="preserve"> that the </w:t>
      </w:r>
      <w:r w:rsidRPr="00D16D9F">
        <w:rPr>
          <w:i/>
        </w:rPr>
        <w:t>Regulation</w:t>
      </w:r>
      <w:r>
        <w:t xml:space="preserve"> </w:t>
      </w:r>
      <w:r w:rsidR="00981EE2">
        <w:t>contraven</w:t>
      </w:r>
      <w:r>
        <w:t xml:space="preserve">ed the </w:t>
      </w:r>
      <w:r w:rsidRPr="00DF18A1">
        <w:rPr>
          <w:i/>
        </w:rPr>
        <w:t>Charter</w:t>
      </w:r>
      <w:r>
        <w:t>’s equality guarantee.</w:t>
      </w:r>
      <w:r w:rsidRPr="005104BC">
        <w:rPr>
          <w:vertAlign w:val="superscript"/>
        </w:rPr>
        <w:footnoteReference w:id="59"/>
      </w:r>
      <w:r>
        <w:t xml:space="preserve">  Justice L’Heureux-Dubé summarized the section 15 violation: “As a result of s. 29(a), adults under 30 were uniquely exposed by the legislative scheme to the threat of living beneath what the government itself considered to be a subsistence level of income.”</w:t>
      </w:r>
      <w:r w:rsidRPr="005104BC">
        <w:rPr>
          <w:vertAlign w:val="superscript"/>
        </w:rPr>
        <w:footnoteReference w:id="60"/>
      </w:r>
      <w:r>
        <w:t xml:space="preserve">  The dissenting justices further found that this rights violation could not be justified under section 1 of the </w:t>
      </w:r>
      <w:r w:rsidRPr="00C44722">
        <w:rPr>
          <w:i/>
        </w:rPr>
        <w:t>Charter</w:t>
      </w:r>
      <w:r>
        <w:t>.</w:t>
      </w:r>
      <w:r w:rsidRPr="005104BC">
        <w:rPr>
          <w:vertAlign w:val="superscript"/>
        </w:rPr>
        <w:footnoteReference w:id="61"/>
      </w:r>
      <w:r>
        <w:t xml:space="preserve">  In Justice Bastarache’s analysis: “In the legislative and social context of the legislation, which provided a safety net for those without means to support themselves, a rights-infringing limitation must be carefully crafted.  In this case, the programs left too many opportunities for young people to fall through the seams of the legislation.”</w:t>
      </w:r>
      <w:r w:rsidRPr="00500B45">
        <w:rPr>
          <w:vertAlign w:val="superscript"/>
        </w:rPr>
        <w:t xml:space="preserve"> </w:t>
      </w:r>
      <w:r w:rsidRPr="005104BC">
        <w:rPr>
          <w:vertAlign w:val="superscript"/>
        </w:rPr>
        <w:footnoteReference w:id="62"/>
      </w:r>
      <w:r>
        <w:t xml:space="preserve">  </w:t>
      </w:r>
    </w:p>
    <w:p w:rsidR="00AC1A5E" w:rsidRDefault="00346148" w:rsidP="00AC1A5E">
      <w:pPr>
        <w:spacing w:line="480" w:lineRule="auto"/>
        <w:ind w:firstLine="720"/>
      </w:pPr>
      <w:r>
        <w:t xml:space="preserve">In her dissenting judgment, concurred in by Justice L’Heureux-Dubé, Justice Arbour </w:t>
      </w:r>
      <w:r w:rsidR="00BE402B">
        <w:t xml:space="preserve">also </w:t>
      </w:r>
      <w:r>
        <w:t>accepted Louise Gosselin’s</w:t>
      </w:r>
      <w:r w:rsidR="002E22F4">
        <w:t xml:space="preserve"> argument that the </w:t>
      </w:r>
      <w:r w:rsidR="002E22F4" w:rsidRPr="00186BE8">
        <w:rPr>
          <w:i/>
        </w:rPr>
        <w:t>Regulation</w:t>
      </w:r>
      <w:r w:rsidR="002E22F4">
        <w:t xml:space="preserve"> violated section 7 of the </w:t>
      </w:r>
      <w:r w:rsidR="002E22F4" w:rsidRPr="002E22F4">
        <w:rPr>
          <w:i/>
        </w:rPr>
        <w:t>Charter</w:t>
      </w:r>
      <w:r w:rsidR="00370209">
        <w:t>.</w:t>
      </w:r>
      <w:r w:rsidR="002E22F4" w:rsidRPr="005104BC">
        <w:rPr>
          <w:vertAlign w:val="superscript"/>
        </w:rPr>
        <w:footnoteReference w:id="63"/>
      </w:r>
      <w:r w:rsidR="00AC1A5E">
        <w:t xml:space="preserve">  Justice Arbour pointed to the physical and psychological health risks flowing directly from living conditions under the reduced rate: inability to pay for adequate clothing, electricity, hot water or shelter</w:t>
      </w:r>
      <w:r w:rsidR="00482AFA">
        <w:t>;</w:t>
      </w:r>
      <w:r w:rsidR="00AC1A5E" w:rsidRPr="005104BC">
        <w:rPr>
          <w:vertAlign w:val="superscript"/>
        </w:rPr>
        <w:footnoteReference w:id="64"/>
      </w:r>
      <w:r w:rsidR="00AC1A5E">
        <w:t xml:space="preserve"> malnourishment;</w:t>
      </w:r>
      <w:r w:rsidR="00AC1A5E" w:rsidRPr="005104BC">
        <w:rPr>
          <w:vertAlign w:val="superscript"/>
        </w:rPr>
        <w:footnoteReference w:id="65"/>
      </w:r>
      <w:r w:rsidR="00AC1A5E">
        <w:t xml:space="preserve"> a “spiral of isolation, depression, humiliation, low self-esteem, anxiety, stress and drug addiction”</w:t>
      </w:r>
      <w:r w:rsidR="00482AFA">
        <w:t>;</w:t>
      </w:r>
      <w:r w:rsidR="00AC1A5E">
        <w:t xml:space="preserve"> and a heightened risk of suicide.</w:t>
      </w:r>
      <w:r w:rsidR="00AC1A5E" w:rsidRPr="005104BC">
        <w:rPr>
          <w:vertAlign w:val="superscript"/>
        </w:rPr>
        <w:footnoteReference w:id="66"/>
      </w:r>
      <w:r w:rsidR="00AC1A5E">
        <w:t xml:space="preserve">  She noted that these effects were experienced by Louise Gosselin herself and, as the expert evidence documented, by other young welfare recipients subject to </w:t>
      </w:r>
      <w:r w:rsidR="00482AFA" w:rsidRPr="00482AFA">
        <w:rPr>
          <w:i/>
        </w:rPr>
        <w:t>Regulation</w:t>
      </w:r>
      <w:r w:rsidR="00AC1A5E">
        <w:t>.</w:t>
      </w:r>
      <w:r w:rsidR="00AC1A5E" w:rsidRPr="005104BC">
        <w:rPr>
          <w:vertAlign w:val="superscript"/>
        </w:rPr>
        <w:footnoteReference w:id="67"/>
      </w:r>
      <w:r w:rsidR="00AC1A5E">
        <w:t xml:space="preserve">  </w:t>
      </w:r>
      <w:r w:rsidR="004122ED">
        <w:t xml:space="preserve">As for </w:t>
      </w:r>
      <w:r w:rsidR="00C05B5F">
        <w:t xml:space="preserve">the </w:t>
      </w:r>
      <w:r w:rsidR="00F425EF">
        <w:t xml:space="preserve">possibility of </w:t>
      </w:r>
      <w:r w:rsidR="004122ED">
        <w:t xml:space="preserve">justifying </w:t>
      </w:r>
      <w:r w:rsidR="00AC1A5E">
        <w:t xml:space="preserve">the </w:t>
      </w:r>
      <w:r w:rsidR="00AC1A5E" w:rsidRPr="00AC1A5E">
        <w:rPr>
          <w:i/>
        </w:rPr>
        <w:t>Regulation</w:t>
      </w:r>
      <w:r w:rsidR="00AC1A5E">
        <w:t xml:space="preserve"> under section 1 of the </w:t>
      </w:r>
      <w:r w:rsidR="00AC1A5E" w:rsidRPr="00583E4C">
        <w:rPr>
          <w:i/>
        </w:rPr>
        <w:t>Charter</w:t>
      </w:r>
      <w:r w:rsidR="00AC1A5E">
        <w:t>, Justice Arbour averred: “it will be a rare case indeed in which the government can successfully claim that the deleterious effects of denying welfare recipients their most basic requirements are proportional to t</w:t>
      </w:r>
      <w:r w:rsidR="002E22F4">
        <w:t>he salutary effects of doing so.</w:t>
      </w:r>
      <w:r w:rsidR="00AC1A5E">
        <w:t>”</w:t>
      </w:r>
      <w:r w:rsidR="00AC1A5E" w:rsidRPr="005104BC">
        <w:rPr>
          <w:vertAlign w:val="superscript"/>
        </w:rPr>
        <w:footnoteReference w:id="68"/>
      </w:r>
    </w:p>
    <w:p w:rsidR="00346148" w:rsidRDefault="00346148" w:rsidP="00370209">
      <w:pPr>
        <w:spacing w:line="480" w:lineRule="auto"/>
        <w:ind w:firstLine="567"/>
      </w:pPr>
    </w:p>
    <w:p w:rsidR="00F45F2E" w:rsidRPr="001C7421" w:rsidRDefault="002109D5" w:rsidP="001C7421">
      <w:pPr>
        <w:pStyle w:val="Paragraphedeliste"/>
        <w:numPr>
          <w:ilvl w:val="0"/>
          <w:numId w:val="11"/>
        </w:numPr>
        <w:spacing w:line="480" w:lineRule="auto"/>
        <w:rPr>
          <w:b/>
        </w:rPr>
      </w:pPr>
      <w:r>
        <w:rPr>
          <w:b/>
        </w:rPr>
        <w:t>ONE STEP FORWAR</w:t>
      </w:r>
      <w:r w:rsidR="001C7421">
        <w:rPr>
          <w:b/>
        </w:rPr>
        <w:t>D: POSITIVE OBLIGATIONS UNDER SECTION 7 OF THE</w:t>
      </w:r>
      <w:r w:rsidR="003074A1" w:rsidRPr="001C7421">
        <w:rPr>
          <w:b/>
        </w:rPr>
        <w:t xml:space="preserve"> </w:t>
      </w:r>
      <w:r w:rsidR="001C7421">
        <w:rPr>
          <w:b/>
          <w:i/>
        </w:rPr>
        <w:t>CHARTER</w:t>
      </w:r>
      <w:r w:rsidR="003074A1" w:rsidRPr="001C7421">
        <w:rPr>
          <w:b/>
        </w:rPr>
        <w:t xml:space="preserve"> </w:t>
      </w:r>
    </w:p>
    <w:p w:rsidR="00A058B8" w:rsidRPr="001C7421" w:rsidRDefault="001C7421" w:rsidP="001C7421">
      <w:pPr>
        <w:spacing w:line="480" w:lineRule="auto"/>
        <w:rPr>
          <w:b/>
        </w:rPr>
      </w:pPr>
      <w:r>
        <w:rPr>
          <w:b/>
        </w:rPr>
        <w:t>A.</w:t>
      </w:r>
      <w:r>
        <w:rPr>
          <w:b/>
        </w:rPr>
        <w:tab/>
        <w:t>Interpretive C</w:t>
      </w:r>
      <w:r w:rsidR="00A058B8" w:rsidRPr="001C7421">
        <w:rPr>
          <w:b/>
        </w:rPr>
        <w:t>ontext</w:t>
      </w:r>
      <w:r w:rsidR="00DD3B2E" w:rsidRPr="001C7421">
        <w:rPr>
          <w:b/>
        </w:rPr>
        <w:t xml:space="preserve"> and </w:t>
      </w:r>
      <w:r>
        <w:rPr>
          <w:b/>
        </w:rPr>
        <w:t>E</w:t>
      </w:r>
      <w:r w:rsidR="00DD3B2E" w:rsidRPr="001C7421">
        <w:rPr>
          <w:b/>
        </w:rPr>
        <w:t>xpectations</w:t>
      </w:r>
      <w:r>
        <w:rPr>
          <w:b/>
        </w:rPr>
        <w:t xml:space="preserve"> </w:t>
      </w:r>
    </w:p>
    <w:p w:rsidR="00EA18CC" w:rsidRDefault="00B85FC6" w:rsidP="00EA18CC">
      <w:pPr>
        <w:spacing w:line="480" w:lineRule="auto"/>
        <w:ind w:firstLine="360"/>
      </w:pPr>
      <w:r>
        <w:t xml:space="preserve">Canada was an active participant in </w:t>
      </w:r>
      <w:r w:rsidR="00180817">
        <w:t xml:space="preserve">the international </w:t>
      </w:r>
      <w:r w:rsidR="0088779A">
        <w:t xml:space="preserve">post-war </w:t>
      </w:r>
      <w:r>
        <w:t xml:space="preserve">movement towards </w:t>
      </w:r>
      <w:r w:rsidR="00D50DDA">
        <w:t xml:space="preserve">more </w:t>
      </w:r>
      <w:r w:rsidR="00BE402B">
        <w:t xml:space="preserve">expansive and </w:t>
      </w:r>
      <w:r w:rsidR="00D50DDA">
        <w:t xml:space="preserve">effective </w:t>
      </w:r>
      <w:r w:rsidR="0088779A">
        <w:t>human rights</w:t>
      </w:r>
      <w:r w:rsidR="00DA6ED3">
        <w:t xml:space="preserve"> protection,</w:t>
      </w:r>
      <w:r w:rsidR="000A3F54">
        <w:t xml:space="preserve"> </w:t>
      </w:r>
      <w:r w:rsidR="00D50DDA">
        <w:t xml:space="preserve">especially for members of historically disadvantaged groups – </w:t>
      </w:r>
      <w:r w:rsidR="000A3F54">
        <w:t xml:space="preserve">the backdrop against which the Canadian </w:t>
      </w:r>
      <w:r w:rsidR="000A3F54" w:rsidRPr="000A3F54">
        <w:rPr>
          <w:i/>
        </w:rPr>
        <w:t>Charter</w:t>
      </w:r>
      <w:r w:rsidR="000A3F54">
        <w:t xml:space="preserve"> was proposed, negotiated and ultimately adopted.  Beginning with </w:t>
      </w:r>
      <w:r w:rsidR="000F674C">
        <w:t xml:space="preserve">its endorsement of </w:t>
      </w:r>
      <w:r w:rsidR="000A3F54">
        <w:t xml:space="preserve">the </w:t>
      </w:r>
      <w:r w:rsidR="00180817" w:rsidRPr="000F674C">
        <w:rPr>
          <w:i/>
        </w:rPr>
        <w:t>Universal Declaration o</w:t>
      </w:r>
      <w:r w:rsidR="000A3F54" w:rsidRPr="000F674C">
        <w:rPr>
          <w:i/>
        </w:rPr>
        <w:t>f</w:t>
      </w:r>
      <w:r w:rsidR="00180817" w:rsidRPr="000F674C">
        <w:rPr>
          <w:i/>
        </w:rPr>
        <w:t xml:space="preserve"> Human Rights</w:t>
      </w:r>
      <w:r w:rsidR="000A3F54">
        <w:t xml:space="preserve"> in 1948</w:t>
      </w:r>
      <w:r w:rsidR="000F674C">
        <w:t>,</w:t>
      </w:r>
      <w:r w:rsidR="002E22F4" w:rsidRPr="005104BC">
        <w:rPr>
          <w:vertAlign w:val="superscript"/>
        </w:rPr>
        <w:footnoteReference w:id="69"/>
      </w:r>
      <w:r w:rsidR="000A3F54">
        <w:t xml:space="preserve"> Canada undertook substantial socio-economic rights commitments</w:t>
      </w:r>
      <w:r w:rsidR="000F674C">
        <w:t xml:space="preserve"> </w:t>
      </w:r>
      <w:r w:rsidR="00801A5F">
        <w:t xml:space="preserve">culminating in </w:t>
      </w:r>
      <w:r w:rsidR="00DA6ED3" w:rsidRPr="009A5AAB">
        <w:t xml:space="preserve">the </w:t>
      </w:r>
      <w:r w:rsidR="00DA6ED3" w:rsidRPr="009A5AAB">
        <w:rPr>
          <w:i/>
        </w:rPr>
        <w:t>International Covenant on Economic Social and Cultural Rights</w:t>
      </w:r>
      <w:r w:rsidR="00B20CC6" w:rsidRPr="009A5AAB">
        <w:t xml:space="preserve"> (</w:t>
      </w:r>
      <w:r w:rsidR="00B20CC6" w:rsidRPr="009A5AAB">
        <w:rPr>
          <w:i/>
        </w:rPr>
        <w:t>ICESCR</w:t>
      </w:r>
      <w:r w:rsidR="00B20CC6" w:rsidRPr="009A5AAB">
        <w:t>)</w:t>
      </w:r>
      <w:r w:rsidR="006841A1" w:rsidRPr="009A5AAB">
        <w:rPr>
          <w:vertAlign w:val="superscript"/>
        </w:rPr>
        <w:footnoteReference w:id="70"/>
      </w:r>
      <w:r w:rsidR="00DA6ED3" w:rsidRPr="009A5AAB">
        <w:t xml:space="preserve"> which, with the </w:t>
      </w:r>
      <w:r w:rsidR="00DA6ED3" w:rsidRPr="009A5AAB">
        <w:rPr>
          <w:i/>
        </w:rPr>
        <w:t>International Covenant on Civil and Political Rights</w:t>
      </w:r>
      <w:r w:rsidR="00B20CC6" w:rsidRPr="009A5AAB">
        <w:rPr>
          <w:i/>
        </w:rPr>
        <w:t xml:space="preserve"> </w:t>
      </w:r>
      <w:r w:rsidR="00B20CC6" w:rsidRPr="009A5AAB">
        <w:t>(</w:t>
      </w:r>
      <w:r w:rsidR="00B20CC6" w:rsidRPr="009A5AAB">
        <w:rPr>
          <w:i/>
        </w:rPr>
        <w:t>ICCPR</w:t>
      </w:r>
      <w:r w:rsidR="00B20CC6" w:rsidRPr="009A5AAB">
        <w:t>)</w:t>
      </w:r>
      <w:r w:rsidR="00B11DDF" w:rsidRPr="009A5AAB">
        <w:t>,</w:t>
      </w:r>
      <w:r w:rsidR="006841A1" w:rsidRPr="009A5AAB">
        <w:rPr>
          <w:vertAlign w:val="superscript"/>
        </w:rPr>
        <w:footnoteReference w:id="71"/>
      </w:r>
      <w:r w:rsidR="00DA6ED3" w:rsidRPr="009A5AAB">
        <w:t xml:space="preserve"> was ratified by Canada </w:t>
      </w:r>
      <w:r w:rsidR="00B11DDF" w:rsidRPr="009A5AAB">
        <w:t xml:space="preserve">in 1976 </w:t>
      </w:r>
      <w:r w:rsidR="00DA6ED3" w:rsidRPr="009A5AAB">
        <w:t xml:space="preserve">with the consent of the provinces </w:t>
      </w:r>
      <w:r w:rsidR="00B11DDF" w:rsidRPr="009A5AAB">
        <w:t xml:space="preserve">and </w:t>
      </w:r>
      <w:r w:rsidR="00A825DF" w:rsidRPr="009A5AAB">
        <w:t xml:space="preserve">shortly before the Trudeau government launched the constitutional reform process that culminated in the </w:t>
      </w:r>
      <w:r w:rsidR="00B11DDF" w:rsidRPr="009A5AAB">
        <w:t xml:space="preserve">enactment of </w:t>
      </w:r>
      <w:r w:rsidR="00B11DDF" w:rsidRPr="009A5AAB">
        <w:rPr>
          <w:i/>
        </w:rPr>
        <w:t>Constitution Act, 1982</w:t>
      </w:r>
      <w:r w:rsidR="00B11DDF" w:rsidRPr="009A5AAB">
        <w:t xml:space="preserve"> and the </w:t>
      </w:r>
      <w:r w:rsidR="00A825DF" w:rsidRPr="009A5AAB">
        <w:rPr>
          <w:i/>
        </w:rPr>
        <w:t>Charter</w:t>
      </w:r>
      <w:r w:rsidR="00DA6ED3" w:rsidRPr="009A5AAB">
        <w:t>.</w:t>
      </w:r>
      <w:r w:rsidR="00F6516B">
        <w:t xml:space="preserve">  In particular, article 11</w:t>
      </w:r>
      <w:r w:rsidR="005E56B5">
        <w:t>(1)</w:t>
      </w:r>
      <w:r w:rsidR="00F6516B">
        <w:t xml:space="preserve"> of the </w:t>
      </w:r>
      <w:r w:rsidR="00F6516B" w:rsidRPr="00F6516B">
        <w:rPr>
          <w:i/>
        </w:rPr>
        <w:t>ICESCR</w:t>
      </w:r>
      <w:r w:rsidR="00F6516B">
        <w:t xml:space="preserve"> affirms that: “</w:t>
      </w:r>
      <w:r w:rsidR="00F6516B" w:rsidRPr="00F6516B">
        <w:t>States Parties to the present Covenant recognize the right of everyone to an adequate standard of living for himself and his family, including adequate food, clothing and housing, and to the continuous improvement of living conditions</w:t>
      </w:r>
      <w:r w:rsidR="00F6516B">
        <w:t>.</w:t>
      </w:r>
      <w:r w:rsidR="00F6516B" w:rsidRPr="00F6516B">
        <w:t xml:space="preserve"> The States Parties will take appropriate steps to ensure the realization of this right</w:t>
      </w:r>
      <w:r w:rsidR="00F6516B">
        <w:t>…”</w:t>
      </w:r>
      <w:r w:rsidR="00B11DDF" w:rsidRPr="009A5AAB">
        <w:rPr>
          <w:vertAlign w:val="superscript"/>
        </w:rPr>
        <w:footnoteReference w:id="72"/>
      </w:r>
      <w:r w:rsidR="00DA6ED3" w:rsidRPr="009A5AAB">
        <w:t xml:space="preserve">  </w:t>
      </w:r>
      <w:r w:rsidR="00C35356" w:rsidRPr="009A5AAB">
        <w:t xml:space="preserve">In ratifying the </w:t>
      </w:r>
      <w:r w:rsidR="00C35356" w:rsidRPr="009A5AAB">
        <w:rPr>
          <w:i/>
        </w:rPr>
        <w:t>ICESCR</w:t>
      </w:r>
      <w:r w:rsidR="00C35356" w:rsidRPr="009A5AAB">
        <w:t xml:space="preserve">, Canada formally acknowledged that adequate food, housing, health care, education and social security </w:t>
      </w:r>
      <w:r w:rsidR="00C35356">
        <w:t xml:space="preserve">were not simply </w:t>
      </w:r>
      <w:r w:rsidR="00C35356" w:rsidRPr="009A5AAB">
        <w:t>desirable social policy objectives but</w:t>
      </w:r>
      <w:r w:rsidR="00C35356">
        <w:t xml:space="preserve"> </w:t>
      </w:r>
      <w:r w:rsidR="00687F03">
        <w:t xml:space="preserve">were basic </w:t>
      </w:r>
      <w:r w:rsidR="00C35356" w:rsidRPr="009A5AAB">
        <w:t>human rights</w:t>
      </w:r>
      <w:r w:rsidR="00C35356">
        <w:t>,</w:t>
      </w:r>
      <w:r w:rsidR="00C35356" w:rsidRPr="009A5AAB">
        <w:t xml:space="preserve"> requiring progressive realization “to the maximum of available resources” and effective remedies when governments failed to meet their obligations.</w:t>
      </w:r>
      <w:r w:rsidR="00687F03" w:rsidRPr="009A5AAB">
        <w:rPr>
          <w:vertAlign w:val="superscript"/>
        </w:rPr>
        <w:footnoteReference w:id="73"/>
      </w:r>
      <w:r w:rsidR="00EA18CC">
        <w:t xml:space="preserve">  </w:t>
      </w:r>
      <w:r w:rsidR="00056753">
        <w:t xml:space="preserve">There </w:t>
      </w:r>
      <w:r w:rsidR="00571EDB">
        <w:t xml:space="preserve">was a </w:t>
      </w:r>
      <w:r w:rsidR="00444702">
        <w:t xml:space="preserve">shared </w:t>
      </w:r>
      <w:r w:rsidR="00571EDB">
        <w:t xml:space="preserve">expectation within the human rights community </w:t>
      </w:r>
      <w:r w:rsidR="00102CDB">
        <w:t xml:space="preserve">that </w:t>
      </w:r>
      <w:r w:rsidR="009A5AAB">
        <w:t xml:space="preserve">these </w:t>
      </w:r>
      <w:r w:rsidR="00E60C08">
        <w:t xml:space="preserve">international </w:t>
      </w:r>
      <w:r w:rsidR="002E22F4">
        <w:t xml:space="preserve">undertakings </w:t>
      </w:r>
      <w:r w:rsidR="00444702">
        <w:t>would inform the interp</w:t>
      </w:r>
      <w:r w:rsidR="00D53B0E">
        <w:t xml:space="preserve">retation </w:t>
      </w:r>
      <w:r w:rsidR="00482AFA">
        <w:t xml:space="preserve">and application </w:t>
      </w:r>
      <w:r w:rsidR="00D53B0E">
        <w:t xml:space="preserve">of the </w:t>
      </w:r>
      <w:r w:rsidR="00444702" w:rsidRPr="00444702">
        <w:rPr>
          <w:i/>
        </w:rPr>
        <w:t>Charter</w:t>
      </w:r>
      <w:r w:rsidR="00600ECD">
        <w:t>.</w:t>
      </w:r>
      <w:r w:rsidR="009A5AAB">
        <w:t xml:space="preserve">  </w:t>
      </w:r>
      <w:r w:rsidR="009E0456">
        <w:t xml:space="preserve">As the Supreme Court of Canada </w:t>
      </w:r>
      <w:r w:rsidR="00EA18CC">
        <w:t xml:space="preserve">has </w:t>
      </w:r>
      <w:r w:rsidR="009E0456">
        <w:t>repeatedly</w:t>
      </w:r>
      <w:r w:rsidR="00EA18CC">
        <w:t xml:space="preserve"> affirmed</w:t>
      </w:r>
      <w:r w:rsidR="009E0456">
        <w:t>: “</w:t>
      </w:r>
      <w:r w:rsidR="00EA18CC">
        <w:t xml:space="preserve">the </w:t>
      </w:r>
      <w:r w:rsidR="00EA18CC" w:rsidRPr="00EA18CC">
        <w:rPr>
          <w:i/>
        </w:rPr>
        <w:t>Charter</w:t>
      </w:r>
      <w:r w:rsidR="00EA18CC">
        <w:t xml:space="preserve"> should generally be presumed to provide protection at least as great as that afforded by similar provisions in the international human rights documents which Canada has ratified.”</w:t>
      </w:r>
      <w:r w:rsidR="00EA18CC" w:rsidRPr="005104BC">
        <w:rPr>
          <w:vertAlign w:val="superscript"/>
        </w:rPr>
        <w:footnoteReference w:id="74"/>
      </w:r>
      <w:r w:rsidR="00EA18CC">
        <w:t xml:space="preserve">  </w:t>
      </w:r>
    </w:p>
    <w:p w:rsidR="000F674C" w:rsidRPr="00C442B9" w:rsidRDefault="00595C89" w:rsidP="00EA18CC">
      <w:pPr>
        <w:spacing w:line="480" w:lineRule="auto"/>
        <w:ind w:firstLine="360"/>
      </w:pPr>
      <w:r>
        <w:t xml:space="preserve">Emerging </w:t>
      </w:r>
      <w:r w:rsidR="00482AFA">
        <w:t xml:space="preserve">domestic </w:t>
      </w:r>
      <w:r>
        <w:t>rights-based approaches</w:t>
      </w:r>
      <w:r w:rsidR="009A5AAB">
        <w:t xml:space="preserve"> to social justice also fed </w:t>
      </w:r>
      <w:r>
        <w:t xml:space="preserve">into debates about the </w:t>
      </w:r>
      <w:r w:rsidR="00BB1F73">
        <w:t xml:space="preserve">language </w:t>
      </w:r>
      <w:r>
        <w:t>and content of the new</w:t>
      </w:r>
      <w:r w:rsidR="00854804">
        <w:rPr>
          <w:i/>
        </w:rPr>
        <w:t xml:space="preserve"> </w:t>
      </w:r>
      <w:r w:rsidR="00854804">
        <w:t>constitutional guarantees.</w:t>
      </w:r>
      <w:r w:rsidR="00163A8C" w:rsidRPr="005104BC">
        <w:rPr>
          <w:vertAlign w:val="superscript"/>
        </w:rPr>
        <w:footnoteReference w:id="75"/>
      </w:r>
      <w:r>
        <w:t xml:space="preserve">  United in their criticism of the courts’ </w:t>
      </w:r>
      <w:r w:rsidR="00B20CC6">
        <w:t xml:space="preserve">negative and circumscribed </w:t>
      </w:r>
      <w:r w:rsidR="00482AFA">
        <w:t xml:space="preserve">reading of </w:t>
      </w:r>
      <w:r w:rsidR="00B20CC6">
        <w:t xml:space="preserve">the </w:t>
      </w:r>
      <w:r w:rsidR="004E6B07" w:rsidRPr="00E3705D">
        <w:rPr>
          <w:i/>
        </w:rPr>
        <w:t>Canadian Bill of Rights</w:t>
      </w:r>
      <w:r>
        <w:t>,</w:t>
      </w:r>
      <w:r w:rsidR="00AD28F6" w:rsidRPr="005104BC">
        <w:rPr>
          <w:vertAlign w:val="superscript"/>
        </w:rPr>
        <w:footnoteReference w:id="76"/>
      </w:r>
      <w:r>
        <w:t xml:space="preserve"> w</w:t>
      </w:r>
      <w:r w:rsidR="003C4C74">
        <w:t>omen’s, disability and oth</w:t>
      </w:r>
      <w:r w:rsidR="00A545FE">
        <w:t>er equality seeking groups</w:t>
      </w:r>
      <w:r>
        <w:t xml:space="preserve"> </w:t>
      </w:r>
      <w:r w:rsidR="00E3705D">
        <w:t xml:space="preserve">mobilized in support of </w:t>
      </w:r>
      <w:r w:rsidR="004E6B07">
        <w:t xml:space="preserve">a new rights paradigm </w:t>
      </w:r>
      <w:r w:rsidR="00E3705D">
        <w:t xml:space="preserve">– one that would </w:t>
      </w:r>
      <w:r>
        <w:t xml:space="preserve">see </w:t>
      </w:r>
      <w:r w:rsidR="00E3705D">
        <w:t xml:space="preserve">the </w:t>
      </w:r>
      <w:r w:rsidR="00E3705D" w:rsidRPr="00E3705D">
        <w:rPr>
          <w:i/>
        </w:rPr>
        <w:t>Charter</w:t>
      </w:r>
      <w:r w:rsidR="00E3705D">
        <w:t xml:space="preserve"> </w:t>
      </w:r>
      <w:r w:rsidR="009A5AAB">
        <w:t xml:space="preserve">and Canadian courts directly </w:t>
      </w:r>
      <w:r w:rsidR="00E3705D">
        <w:t>engage with government obligations to institute programs and benefits to address historic patterns of exclusion and disadvantage.</w:t>
      </w:r>
      <w:r w:rsidR="00305559" w:rsidRPr="005104BC">
        <w:rPr>
          <w:vertAlign w:val="superscript"/>
        </w:rPr>
        <w:footnoteReference w:id="77"/>
      </w:r>
      <w:r w:rsidR="0028328F">
        <w:t xml:space="preserve">  </w:t>
      </w:r>
      <w:r w:rsidR="00E3705D">
        <w:t xml:space="preserve">Building on Canada’s international obligations and </w:t>
      </w:r>
      <w:r w:rsidR="00BB1F73">
        <w:t xml:space="preserve">drawing on remedial </w:t>
      </w:r>
      <w:r>
        <w:t xml:space="preserve">jurisprudence under </w:t>
      </w:r>
      <w:r w:rsidR="00E3705D">
        <w:t>provincial and federal human rights</w:t>
      </w:r>
      <w:r w:rsidR="00B20CC6">
        <w:t xml:space="preserve"> legislation</w:t>
      </w:r>
      <w:r w:rsidR="00E3705D">
        <w:t xml:space="preserve">, </w:t>
      </w:r>
      <w:r w:rsidR="004455C1">
        <w:t xml:space="preserve">it </w:t>
      </w:r>
      <w:r w:rsidR="00E3705D">
        <w:t xml:space="preserve">was expected </w:t>
      </w:r>
      <w:r w:rsidR="00B20CC6">
        <w:t>that</w:t>
      </w:r>
      <w:r w:rsidR="004455C1">
        <w:t xml:space="preserve"> </w:t>
      </w:r>
      <w:r>
        <w:t>access to housing, health care, food, jobs, child care and social assistance for those in need would be accorded as much impo</w:t>
      </w:r>
      <w:r w:rsidR="00C30036">
        <w:t xml:space="preserve">rtance as negative guarantees against </w:t>
      </w:r>
      <w:r>
        <w:t>unreasonable government interference</w:t>
      </w:r>
      <w:r w:rsidR="00C30036">
        <w:t xml:space="preserve"> with life, liberty, security of the person and other individual rights</w:t>
      </w:r>
      <w:r>
        <w:t>.</w:t>
      </w:r>
      <w:r w:rsidR="00AD28F6">
        <w:t xml:space="preserve">  </w:t>
      </w:r>
      <w:r w:rsidR="00AD28F6" w:rsidRPr="0099265D">
        <w:rPr>
          <w:lang w:val="fr-CA"/>
        </w:rPr>
        <w:t xml:space="preserve">Francine Fournier </w:t>
      </w:r>
      <w:r w:rsidR="00AD28F6">
        <w:rPr>
          <w:lang w:val="fr-CA"/>
        </w:rPr>
        <w:t>explained</w:t>
      </w:r>
      <w:r w:rsidR="00AD28F6" w:rsidRPr="0099265D">
        <w:rPr>
          <w:lang w:val="fr-CA"/>
        </w:rPr>
        <w:t xml:space="preserve">:  “face </w:t>
      </w:r>
      <w:r w:rsidR="00AD28F6">
        <w:rPr>
          <w:lang w:val="fr-CA"/>
        </w:rPr>
        <w:t xml:space="preserve">à la discrimination individuelle et systémique, des recours existent ou sont possibles.  Ils doivent être développés, raffinés et renforcés.  Mais ces interventions doivent aller de pair avec la reconnaissance concrète des droits économiques et sociaux.  </w:t>
      </w:r>
      <w:r w:rsidR="00AD28F6" w:rsidRPr="00C442B9">
        <w:t>L’égalité réelle exige le développement de ceux-ci.</w:t>
      </w:r>
      <w:r w:rsidR="00AD28F6">
        <w:t>”</w:t>
      </w:r>
      <w:r w:rsidR="00AD28F6" w:rsidRPr="005104BC">
        <w:rPr>
          <w:vertAlign w:val="superscript"/>
        </w:rPr>
        <w:footnoteReference w:id="78"/>
      </w:r>
      <w:r w:rsidR="00AD28F6" w:rsidRPr="00C442B9">
        <w:t xml:space="preserve">  </w:t>
      </w:r>
    </w:p>
    <w:p w:rsidR="00513ECC" w:rsidRDefault="00C30036" w:rsidP="007D1087">
      <w:pPr>
        <w:spacing w:line="480" w:lineRule="auto"/>
        <w:ind w:firstLine="720"/>
      </w:pPr>
      <w:bookmarkStart w:id="7" w:name="_Hlk521947673"/>
      <w:r>
        <w:t xml:space="preserve">Feminist constitutional </w:t>
      </w:r>
      <w:r w:rsidR="00B75C33">
        <w:t xml:space="preserve">lawyers and </w:t>
      </w:r>
      <w:r>
        <w:t>scholars</w:t>
      </w:r>
      <w:r w:rsidR="00D25A1B">
        <w:t>, including Marilou McPhedran, Mary Eberts, Tamra Thomson and Beverley Baines,</w:t>
      </w:r>
      <w:r w:rsidR="00E24740">
        <w:t xml:space="preserve"> </w:t>
      </w:r>
      <w:r w:rsidR="001367E6">
        <w:t xml:space="preserve">were articulate proponents of this understanding of the </w:t>
      </w:r>
      <w:r w:rsidR="001367E6" w:rsidRPr="001367E6">
        <w:rPr>
          <w:i/>
        </w:rPr>
        <w:t>Charter</w:t>
      </w:r>
      <w:r w:rsidR="001367E6">
        <w:t xml:space="preserve">, working successfully with </w:t>
      </w:r>
      <w:r w:rsidR="007D2025">
        <w:t xml:space="preserve">women’s and </w:t>
      </w:r>
      <w:r w:rsidR="00B75C33">
        <w:t xml:space="preserve">other </w:t>
      </w:r>
      <w:r w:rsidR="001367E6">
        <w:t xml:space="preserve">equality seeking </w:t>
      </w:r>
      <w:r w:rsidR="007D2025">
        <w:t>organization</w:t>
      </w:r>
      <w:r w:rsidR="001367E6">
        <w:t xml:space="preserve">s to reframe </w:t>
      </w:r>
      <w:r w:rsidR="00513ECC">
        <w:t xml:space="preserve">section 15 in particular, </w:t>
      </w:r>
      <w:r w:rsidR="00FF2970">
        <w:t xml:space="preserve">to </w:t>
      </w:r>
      <w:r w:rsidR="007F5C9C">
        <w:t xml:space="preserve">require </w:t>
      </w:r>
      <w:r w:rsidR="004A4796">
        <w:t>affirmativ</w:t>
      </w:r>
      <w:r w:rsidR="007F5C9C">
        <w:t xml:space="preserve">e </w:t>
      </w:r>
      <w:r w:rsidR="009A5AAB">
        <w:t xml:space="preserve">measures </w:t>
      </w:r>
      <w:r w:rsidR="007F5C9C">
        <w:t>to address socio-economic marginalization and remedy disadvantage</w:t>
      </w:r>
      <w:r w:rsidR="001367E6">
        <w:t>.</w:t>
      </w:r>
      <w:r w:rsidR="007D2025">
        <w:t xml:space="preserve">  As Mary Eberts described it: “full substantive equality … was the groups’ goal.”</w:t>
      </w:r>
      <w:r w:rsidR="00ED4796" w:rsidRPr="005104BC">
        <w:rPr>
          <w:vertAlign w:val="superscript"/>
        </w:rPr>
        <w:footnoteReference w:id="79"/>
      </w:r>
      <w:r w:rsidR="001367E6">
        <w:t xml:space="preserve"> </w:t>
      </w:r>
      <w:r w:rsidR="0099265D">
        <w:t xml:space="preserve"> </w:t>
      </w:r>
      <w:bookmarkEnd w:id="7"/>
      <w:r w:rsidR="007D1087">
        <w:t>The</w:t>
      </w:r>
      <w:r w:rsidR="00094BDF">
        <w:t xml:space="preserve"> expectation </w:t>
      </w:r>
      <w:r w:rsidR="007D1087">
        <w:t>th</w:t>
      </w:r>
      <w:r w:rsidR="00094BDF">
        <w:t xml:space="preserve">e </w:t>
      </w:r>
      <w:r w:rsidR="001367E6" w:rsidRPr="00D50DDA">
        <w:rPr>
          <w:i/>
        </w:rPr>
        <w:t>Charter</w:t>
      </w:r>
      <w:r w:rsidR="001367E6">
        <w:t xml:space="preserve"> </w:t>
      </w:r>
      <w:r w:rsidR="007D1087">
        <w:t xml:space="preserve">would </w:t>
      </w:r>
      <w:r w:rsidR="004A4796">
        <w:t xml:space="preserve">require </w:t>
      </w:r>
      <w:r w:rsidR="00C56E9A">
        <w:t xml:space="preserve">positive </w:t>
      </w:r>
      <w:r w:rsidR="007D1087">
        <w:t xml:space="preserve">action </w:t>
      </w:r>
      <w:r w:rsidR="004A4796">
        <w:t xml:space="preserve">by governments </w:t>
      </w:r>
      <w:r w:rsidR="007D1087">
        <w:t xml:space="preserve">to </w:t>
      </w:r>
      <w:r w:rsidR="004A4796">
        <w:t xml:space="preserve">ensure </w:t>
      </w:r>
      <w:r w:rsidR="00C35356">
        <w:t xml:space="preserve">the </w:t>
      </w:r>
      <w:r w:rsidR="00B75C33">
        <w:t xml:space="preserve">substantive </w:t>
      </w:r>
      <w:r w:rsidR="007D2025">
        <w:t xml:space="preserve">benefit and </w:t>
      </w:r>
      <w:r w:rsidR="00B75C33">
        <w:t xml:space="preserve">equal </w:t>
      </w:r>
      <w:r w:rsidR="00C35356">
        <w:t xml:space="preserve">enjoyment of </w:t>
      </w:r>
      <w:r w:rsidR="004A4796" w:rsidRPr="004A4796">
        <w:rPr>
          <w:i/>
        </w:rPr>
        <w:t>Charter</w:t>
      </w:r>
      <w:r w:rsidR="004A4796">
        <w:t xml:space="preserve"> rights, especially for members of </w:t>
      </w:r>
      <w:r w:rsidR="00D47188">
        <w:t xml:space="preserve">historically </w:t>
      </w:r>
      <w:r w:rsidR="004A4796">
        <w:t xml:space="preserve">disadvantaged communities, </w:t>
      </w:r>
      <w:r w:rsidR="001367E6">
        <w:t>was</w:t>
      </w:r>
      <w:r w:rsidR="00D50DDA">
        <w:t xml:space="preserve"> </w:t>
      </w:r>
      <w:r w:rsidR="001367E6">
        <w:t xml:space="preserve">shared </w:t>
      </w:r>
      <w:r w:rsidR="005F16D6">
        <w:t>beyond</w:t>
      </w:r>
      <w:r w:rsidR="00D50DDA">
        <w:t xml:space="preserve"> the nascent feminist legal academy.  </w:t>
      </w:r>
      <w:r w:rsidR="00CE20BF">
        <w:t xml:space="preserve">In a 1982 </w:t>
      </w:r>
      <w:r w:rsidR="00D47188">
        <w:t>re</w:t>
      </w:r>
      <w:r w:rsidR="00CE20BF">
        <w:t>view</w:t>
      </w:r>
      <w:r w:rsidR="00D47188">
        <w:t xml:space="preserve"> of the newly enacted </w:t>
      </w:r>
      <w:r w:rsidR="00D47188" w:rsidRPr="00D47188">
        <w:rPr>
          <w:i/>
        </w:rPr>
        <w:t>Charter</w:t>
      </w:r>
      <w:r w:rsidR="00CE20BF">
        <w:t>, Rod Macdonald di</w:t>
      </w:r>
      <w:r w:rsidR="005F16D6">
        <w:t>smiss</w:t>
      </w:r>
      <w:r w:rsidR="00CE20BF">
        <w:t>ed</w:t>
      </w:r>
      <w:r w:rsidR="00C25CA0">
        <w:t xml:space="preserve"> the idea </w:t>
      </w:r>
      <w:r w:rsidR="00D47188">
        <w:t xml:space="preserve">that the </w:t>
      </w:r>
      <w:r w:rsidR="00D47188" w:rsidRPr="00D47188">
        <w:rPr>
          <w:i/>
        </w:rPr>
        <w:t>Charter</w:t>
      </w:r>
      <w:r w:rsidR="00D47188">
        <w:t xml:space="preserve"> </w:t>
      </w:r>
      <w:r w:rsidR="00237E42">
        <w:t>entrenched a pur</w:t>
      </w:r>
      <w:r w:rsidR="00ED4796">
        <w:t>ely negative concept of freedom</w:t>
      </w:r>
      <w:r w:rsidR="00CE20BF">
        <w:t>.</w:t>
      </w:r>
      <w:r w:rsidR="00CE20BF" w:rsidRPr="005104BC">
        <w:rPr>
          <w:vertAlign w:val="superscript"/>
        </w:rPr>
        <w:footnoteReference w:id="80"/>
      </w:r>
      <w:r w:rsidR="00CE20BF">
        <w:t xml:space="preserve">  I</w:t>
      </w:r>
      <w:r w:rsidR="00ED4796">
        <w:t>n an echo of Frank R. Scot</w:t>
      </w:r>
      <w:r w:rsidR="00C56E9A">
        <w:t>t,</w:t>
      </w:r>
      <w:r w:rsidR="00C56E9A" w:rsidRPr="005104BC">
        <w:rPr>
          <w:vertAlign w:val="superscript"/>
        </w:rPr>
        <w:footnoteReference w:id="81"/>
      </w:r>
      <w:r w:rsidR="00584A5F">
        <w:t xml:space="preserve"> </w:t>
      </w:r>
      <w:r w:rsidR="00CE20BF">
        <w:t xml:space="preserve">Macdonald argued </w:t>
      </w:r>
      <w:r w:rsidR="00445E92">
        <w:t>that</w:t>
      </w:r>
      <w:r w:rsidR="00237E42">
        <w:t xml:space="preserve"> “the most fundamental right for the majority of Canadians in not a right to be free from certain kinds of governmental activity, but rather the right to be free to benefit equally from the advantages that organized government fosters.”</w:t>
      </w:r>
      <w:r w:rsidR="00237E42" w:rsidRPr="005104BC">
        <w:rPr>
          <w:vertAlign w:val="superscript"/>
        </w:rPr>
        <w:footnoteReference w:id="82"/>
      </w:r>
      <w:r w:rsidR="00237E42">
        <w:t xml:space="preserve">  </w:t>
      </w:r>
    </w:p>
    <w:p w:rsidR="002E31A8" w:rsidRDefault="00CE20BF" w:rsidP="00513ECC">
      <w:pPr>
        <w:spacing w:line="480" w:lineRule="auto"/>
        <w:ind w:firstLine="567"/>
      </w:pPr>
      <w:r>
        <w:t>In his1983</w:t>
      </w:r>
      <w:r w:rsidR="002E31A8">
        <w:t xml:space="preserve"> analysis of section 7</w:t>
      </w:r>
      <w:r w:rsidR="007B5C11">
        <w:t xml:space="preserve"> of the </w:t>
      </w:r>
      <w:r w:rsidR="007B5C11" w:rsidRPr="007B5C11">
        <w:rPr>
          <w:i/>
        </w:rPr>
        <w:t>Charter</w:t>
      </w:r>
      <w:r>
        <w:t xml:space="preserve">, John Whyte </w:t>
      </w:r>
      <w:r w:rsidR="003C4347">
        <w:t>likewise a</w:t>
      </w:r>
      <w:r w:rsidR="001C3318">
        <w:t>rgu</w:t>
      </w:r>
      <w:r w:rsidR="002E31A8">
        <w:t xml:space="preserve">ed against a narrow </w:t>
      </w:r>
      <w:r w:rsidR="00874F76">
        <w:t xml:space="preserve">interpretation </w:t>
      </w:r>
      <w:r w:rsidR="001C3318">
        <w:t xml:space="preserve">of section 7 </w:t>
      </w:r>
      <w:r w:rsidR="003B15E6">
        <w:t xml:space="preserve">that would </w:t>
      </w:r>
      <w:r w:rsidR="00463E2D">
        <w:t xml:space="preserve">offer </w:t>
      </w:r>
      <w:r w:rsidR="001C3318">
        <w:t>safeguard</w:t>
      </w:r>
      <w:r w:rsidR="00463E2D">
        <w:t xml:space="preserve">s </w:t>
      </w:r>
      <w:r w:rsidR="001C3318">
        <w:t xml:space="preserve">only </w:t>
      </w:r>
      <w:r w:rsidR="002E31A8">
        <w:t>against negative state action</w:t>
      </w:r>
      <w:r w:rsidR="00F40CF8">
        <w:t>,</w:t>
      </w:r>
      <w:r w:rsidR="002E31A8">
        <w:t xml:space="preserve"> or that would </w:t>
      </w:r>
      <w:r w:rsidR="007D1087">
        <w:t xml:space="preserve">restrict </w:t>
      </w:r>
      <w:r w:rsidR="001C3318">
        <w:t xml:space="preserve">constitutionally protected </w:t>
      </w:r>
      <w:r w:rsidR="0040455A">
        <w:t xml:space="preserve">life, liberty and security of the persons </w:t>
      </w:r>
      <w:r w:rsidR="002E31A8">
        <w:t xml:space="preserve">interests to those </w:t>
      </w:r>
      <w:r w:rsidR="00F40CF8">
        <w:t xml:space="preserve">at risk in the </w:t>
      </w:r>
      <w:r w:rsidR="002E31A8">
        <w:t xml:space="preserve">criminal </w:t>
      </w:r>
      <w:r w:rsidR="00F40CF8">
        <w:t>justice system</w:t>
      </w:r>
      <w:r w:rsidR="002E31A8">
        <w:t>.</w:t>
      </w:r>
      <w:r w:rsidR="003B15E6" w:rsidRPr="005104BC">
        <w:rPr>
          <w:vertAlign w:val="superscript"/>
        </w:rPr>
        <w:footnoteReference w:id="83"/>
      </w:r>
      <w:r w:rsidR="002E31A8">
        <w:t xml:space="preserve">  </w:t>
      </w:r>
      <w:r w:rsidR="001C3318">
        <w:t xml:space="preserve">In proposing a substantive understanding of the principles of fundamental justice, </w:t>
      </w:r>
      <w:r w:rsidR="003C4347">
        <w:t xml:space="preserve">Whyte </w:t>
      </w:r>
      <w:r w:rsidR="007D1087">
        <w:t xml:space="preserve">observed </w:t>
      </w:r>
      <w:r w:rsidR="003C4347">
        <w:t>that: “It is now commonplace to think of the state’s imposition of burdens and benefits (relating to, among other things, life, liberty and security of the person) as either promoting social justice or, on the contrary, as being fundamentally unjust.”</w:t>
      </w:r>
      <w:r w:rsidR="003C4347" w:rsidRPr="005104BC">
        <w:rPr>
          <w:vertAlign w:val="superscript"/>
        </w:rPr>
        <w:footnoteReference w:id="84"/>
      </w:r>
      <w:r w:rsidR="003C4347">
        <w:t xml:space="preserve"> </w:t>
      </w:r>
      <w:r w:rsidR="003B15E6">
        <w:t>In</w:t>
      </w:r>
      <w:r w:rsidR="003C4347">
        <w:t xml:space="preserve"> terms of the </w:t>
      </w:r>
      <w:r w:rsidR="007D1087">
        <w:t xml:space="preserve">range of </w:t>
      </w:r>
      <w:r w:rsidR="00BC675F">
        <w:t xml:space="preserve">interests protected under section 7, Whyte </w:t>
      </w:r>
      <w:r w:rsidR="00513ECC">
        <w:t>contended</w:t>
      </w:r>
      <w:r w:rsidR="002E31A8">
        <w:t>:</w:t>
      </w:r>
    </w:p>
    <w:p w:rsidR="007B5C11" w:rsidRDefault="003B15E6" w:rsidP="007B5C11">
      <w:pPr>
        <w:spacing w:line="240" w:lineRule="auto"/>
        <w:ind w:left="567" w:right="567"/>
      </w:pPr>
      <w:r>
        <w:t xml:space="preserve">Assuming that the </w:t>
      </w:r>
      <w:r w:rsidRPr="003B15E6">
        <w:rPr>
          <w:i/>
        </w:rPr>
        <w:t>Charter</w:t>
      </w:r>
      <w:r>
        <w:t xml:space="preserve"> is dedicated to granting rights over matters of fundamental importance, “security of the person” will include conditions necessary for life, such as food and shelter.  Hence governmental actions which take away shelter and food, (or the capacity to obtain shelter and food), would be subject to court review under section 7.</w:t>
      </w:r>
      <w:r w:rsidRPr="005104BC">
        <w:rPr>
          <w:vertAlign w:val="superscript"/>
        </w:rPr>
        <w:footnoteReference w:id="85"/>
      </w:r>
    </w:p>
    <w:p w:rsidR="007B5C11" w:rsidRDefault="007B5C11" w:rsidP="007B5C11">
      <w:pPr>
        <w:spacing w:line="240" w:lineRule="auto"/>
        <w:ind w:left="567" w:right="567"/>
      </w:pPr>
    </w:p>
    <w:p w:rsidR="00A058B8" w:rsidRPr="001C7421" w:rsidRDefault="00A058B8" w:rsidP="001C7421">
      <w:pPr>
        <w:pStyle w:val="Paragraphedeliste"/>
        <w:numPr>
          <w:ilvl w:val="0"/>
          <w:numId w:val="14"/>
        </w:numPr>
        <w:spacing w:line="480" w:lineRule="auto"/>
        <w:rPr>
          <w:b/>
        </w:rPr>
      </w:pPr>
      <w:r w:rsidRPr="001C7421">
        <w:rPr>
          <w:b/>
        </w:rPr>
        <w:t xml:space="preserve">The </w:t>
      </w:r>
      <w:r w:rsidR="001C7421">
        <w:rPr>
          <w:b/>
        </w:rPr>
        <w:t>A</w:t>
      </w:r>
      <w:r w:rsidR="00744C57" w:rsidRPr="001C7421">
        <w:rPr>
          <w:b/>
        </w:rPr>
        <w:t xml:space="preserve">rgument </w:t>
      </w:r>
      <w:r w:rsidR="001C7421">
        <w:rPr>
          <w:b/>
        </w:rPr>
        <w:t>Against Section 7 as a Source of P</w:t>
      </w:r>
      <w:r w:rsidRPr="001C7421">
        <w:rPr>
          <w:b/>
        </w:rPr>
        <w:t>ositi</w:t>
      </w:r>
      <w:r w:rsidR="001C7421">
        <w:rPr>
          <w:b/>
        </w:rPr>
        <w:t>ve O</w:t>
      </w:r>
      <w:r w:rsidRPr="001C7421">
        <w:rPr>
          <w:b/>
        </w:rPr>
        <w:t>bligations</w:t>
      </w:r>
    </w:p>
    <w:p w:rsidR="009D62B6" w:rsidRDefault="00237E42" w:rsidP="004E6B07">
      <w:pPr>
        <w:spacing w:line="480" w:lineRule="auto"/>
        <w:ind w:firstLine="720"/>
      </w:pPr>
      <w:r>
        <w:t xml:space="preserve">It is, however, Peter Hogg’s contrary view </w:t>
      </w:r>
      <w:r w:rsidR="00BC675F">
        <w:t>of section 7</w:t>
      </w:r>
      <w:r w:rsidR="00254432" w:rsidRPr="005104BC">
        <w:rPr>
          <w:vertAlign w:val="superscript"/>
        </w:rPr>
        <w:footnoteReference w:id="86"/>
      </w:r>
      <w:r w:rsidR="00BC675F">
        <w:t xml:space="preserve"> </w:t>
      </w:r>
      <w:r>
        <w:t xml:space="preserve">that was </w:t>
      </w:r>
      <w:r w:rsidR="00A9094D">
        <w:t>large</w:t>
      </w:r>
      <w:r w:rsidR="00BC675F">
        <w:t xml:space="preserve">ly </w:t>
      </w:r>
      <w:r>
        <w:t xml:space="preserve">embraced by Canadian courts </w:t>
      </w:r>
      <w:r w:rsidR="00DE44C5">
        <w:t xml:space="preserve">called upon to decide </w:t>
      </w:r>
      <w:r>
        <w:t xml:space="preserve">early </w:t>
      </w:r>
      <w:r w:rsidRPr="00DE44C5">
        <w:rPr>
          <w:i/>
        </w:rPr>
        <w:t>Charter</w:t>
      </w:r>
      <w:r>
        <w:t xml:space="preserve"> cla</w:t>
      </w:r>
      <w:r w:rsidR="00220A3A">
        <w:t xml:space="preserve">ims </w:t>
      </w:r>
      <w:r w:rsidR="00F40CF8">
        <w:t xml:space="preserve">brought </w:t>
      </w:r>
      <w:r w:rsidR="00220A3A">
        <w:t>by people living in poverty.</w:t>
      </w:r>
      <w:r w:rsidR="00220A3A" w:rsidRPr="005104BC">
        <w:rPr>
          <w:vertAlign w:val="superscript"/>
        </w:rPr>
        <w:footnoteReference w:id="87"/>
      </w:r>
      <w:r w:rsidR="00C442B9">
        <w:t xml:space="preserve">  </w:t>
      </w:r>
      <w:r w:rsidR="007E57FE">
        <w:t xml:space="preserve">Although section 32 states that the </w:t>
      </w:r>
      <w:r w:rsidR="007E57FE" w:rsidRPr="007E57FE">
        <w:rPr>
          <w:i/>
        </w:rPr>
        <w:t>Charter</w:t>
      </w:r>
      <w:r w:rsidR="007E57FE">
        <w:t xml:space="preserve"> applies “</w:t>
      </w:r>
      <w:r w:rsidR="007E57FE" w:rsidRPr="007E57FE">
        <w:t>in respect of all matters within the authority of</w:t>
      </w:r>
      <w:r w:rsidR="007E57FE">
        <w:t>” fed</w:t>
      </w:r>
      <w:r w:rsidR="00756B26">
        <w:t>eral and provincial governments,</w:t>
      </w:r>
      <w:r w:rsidR="00220A3A" w:rsidRPr="005104BC">
        <w:rPr>
          <w:vertAlign w:val="superscript"/>
        </w:rPr>
        <w:footnoteReference w:id="88"/>
      </w:r>
      <w:r w:rsidR="007E57FE">
        <w:t xml:space="preserve"> Hogg </w:t>
      </w:r>
      <w:r w:rsidR="00756B26">
        <w:t>affirm</w:t>
      </w:r>
      <w:r w:rsidR="007E57FE">
        <w:t xml:space="preserve">ed </w:t>
      </w:r>
      <w:r w:rsidR="00463F92">
        <w:t xml:space="preserve">that: “Section 7, like all the other </w:t>
      </w:r>
      <w:r w:rsidR="00463F92" w:rsidRPr="00186BE8">
        <w:rPr>
          <w:i/>
        </w:rPr>
        <w:t>Charter</w:t>
      </w:r>
      <w:r w:rsidR="00463F92">
        <w:t xml:space="preserve"> rights, applies only to ‘governmental action’, as defined in s. 32 of the </w:t>
      </w:r>
      <w:r w:rsidR="00463F92" w:rsidRPr="00186BE8">
        <w:rPr>
          <w:i/>
        </w:rPr>
        <w:t>Charter</w:t>
      </w:r>
      <w:r w:rsidR="00463F92">
        <w:t>.”</w:t>
      </w:r>
      <w:r w:rsidR="00220A3A" w:rsidRPr="005104BC">
        <w:rPr>
          <w:vertAlign w:val="superscript"/>
        </w:rPr>
        <w:footnoteReference w:id="89"/>
      </w:r>
      <w:r w:rsidR="00463F92">
        <w:t xml:space="preserve"> </w:t>
      </w:r>
      <w:r w:rsidR="00AF7C90">
        <w:t xml:space="preserve"> </w:t>
      </w:r>
      <w:r w:rsidR="00A31455">
        <w:t>Acknowledging</w:t>
      </w:r>
      <w:r w:rsidR="006E4522">
        <w:t xml:space="preserve"> </w:t>
      </w:r>
      <w:r w:rsidR="007A32E3">
        <w:t xml:space="preserve">that: </w:t>
      </w:r>
      <w:r w:rsidR="006E4522">
        <w:t>“It has been suggested that ‘security of the person’ includes the economic capacity to satisfy basic human needs”</w:t>
      </w:r>
      <w:r w:rsidR="00220A3A" w:rsidRPr="005104BC">
        <w:rPr>
          <w:vertAlign w:val="superscript"/>
        </w:rPr>
        <w:footnoteReference w:id="90"/>
      </w:r>
      <w:r w:rsidR="009D62B6">
        <w:t xml:space="preserve"> </w:t>
      </w:r>
      <w:r w:rsidR="00A31455">
        <w:t xml:space="preserve">Hogg </w:t>
      </w:r>
      <w:r w:rsidR="00463E2D">
        <w:t xml:space="preserve">warned </w:t>
      </w:r>
      <w:r w:rsidR="00EA4316">
        <w:t>that</w:t>
      </w:r>
      <w:r w:rsidR="007A32E3">
        <w:t>:</w:t>
      </w:r>
      <w:r w:rsidR="00EA4316">
        <w:t xml:space="preserve"> “The trouble with </w:t>
      </w:r>
      <w:r w:rsidR="00463E2D">
        <w:t xml:space="preserve">this </w:t>
      </w:r>
      <w:r w:rsidR="00A31455">
        <w:t>argument is</w:t>
      </w:r>
      <w:r w:rsidR="00EA4316">
        <w:t xml:space="preserve"> that it </w:t>
      </w:r>
      <w:r w:rsidR="009D62B6">
        <w:t>accords to s. 7 an economic role that is incompatible with its setting in the legal rights</w:t>
      </w:r>
      <w:r w:rsidR="00756B26">
        <w:t xml:space="preserve"> portion of the </w:t>
      </w:r>
      <w:r w:rsidR="00756B26" w:rsidRPr="00186BE8">
        <w:rPr>
          <w:i/>
        </w:rPr>
        <w:t>Charter</w:t>
      </w:r>
      <w:r w:rsidR="00463E2D">
        <w:t>.</w:t>
      </w:r>
      <w:r w:rsidR="00756B26">
        <w:t>”</w:t>
      </w:r>
      <w:r w:rsidR="00220A3A" w:rsidRPr="005104BC">
        <w:rPr>
          <w:vertAlign w:val="superscript"/>
        </w:rPr>
        <w:footnoteReference w:id="91"/>
      </w:r>
      <w:r w:rsidR="00F40CF8">
        <w:t xml:space="preserve">  </w:t>
      </w:r>
      <w:r w:rsidR="00463E2D">
        <w:t xml:space="preserve">In </w:t>
      </w:r>
      <w:r w:rsidR="00B14C75">
        <w:t>Hogg’s</w:t>
      </w:r>
      <w:r w:rsidR="00463E2D">
        <w:t xml:space="preserve"> opinion</w:t>
      </w:r>
      <w:r w:rsidR="009D62B6">
        <w:t>:</w:t>
      </w:r>
    </w:p>
    <w:p w:rsidR="007B5C11" w:rsidRDefault="009D62B6" w:rsidP="009F710C">
      <w:pPr>
        <w:spacing w:line="240" w:lineRule="auto"/>
        <w:ind w:left="567" w:right="567"/>
      </w:pPr>
      <w:r>
        <w:t>The suggested role also involves a massive expansion of judicial review, since it would bring under judicial scrutiny all the elements of the modern welfare state, including … of course, the level of public expenditures on social programmes.  As Oliver Wendell Holmes would have pointed out, these are the issues upon which elections are won and lost; the judges need a clear mandate to enter that arena, and s. 7 does not provide that clear mandate.</w:t>
      </w:r>
      <w:r w:rsidR="00220A3A" w:rsidRPr="005104BC">
        <w:rPr>
          <w:vertAlign w:val="superscript"/>
        </w:rPr>
        <w:footnoteReference w:id="92"/>
      </w:r>
      <w:r>
        <w:t xml:space="preserve"> </w:t>
      </w:r>
    </w:p>
    <w:p w:rsidR="009F710C" w:rsidRDefault="009F710C" w:rsidP="009F710C">
      <w:pPr>
        <w:spacing w:line="240" w:lineRule="auto"/>
        <w:ind w:left="567" w:right="567"/>
      </w:pPr>
    </w:p>
    <w:p w:rsidR="0050543C" w:rsidRDefault="002D3EED" w:rsidP="005A7247">
      <w:pPr>
        <w:spacing w:line="480" w:lineRule="auto"/>
        <w:ind w:firstLine="720"/>
        <w:rPr>
          <w:lang w:val="fr-CA"/>
        </w:rPr>
      </w:pPr>
      <w:r>
        <w:t xml:space="preserve">In </w:t>
      </w:r>
      <w:r w:rsidRPr="002D3EED">
        <w:rPr>
          <w:i/>
        </w:rPr>
        <w:t>Gosselin</w:t>
      </w:r>
      <w:r w:rsidR="007B5C11">
        <w:t xml:space="preserve">, the </w:t>
      </w:r>
      <w:r w:rsidR="00B14C75">
        <w:t xml:space="preserve">Attorney General </w:t>
      </w:r>
      <w:r w:rsidR="004A26A2">
        <w:t xml:space="preserve">of </w:t>
      </w:r>
      <w:r w:rsidR="005D5A1C">
        <w:t>Québec</w:t>
      </w:r>
      <w:r w:rsidR="004A26A2">
        <w:t xml:space="preserve"> </w:t>
      </w:r>
      <w:r w:rsidR="00F40CF8">
        <w:t xml:space="preserve">repeatedly </w:t>
      </w:r>
      <w:r w:rsidR="0050543C">
        <w:t>cit</w:t>
      </w:r>
      <w:r w:rsidR="00F40CF8">
        <w:t xml:space="preserve">ed </w:t>
      </w:r>
      <w:r w:rsidR="00B14C75">
        <w:t xml:space="preserve">Peter </w:t>
      </w:r>
      <w:r w:rsidR="00F40CF8">
        <w:t xml:space="preserve">Hogg in </w:t>
      </w:r>
      <w:r w:rsidR="0050543C">
        <w:t xml:space="preserve">arguing </w:t>
      </w:r>
      <w:r w:rsidR="00376279">
        <w:t xml:space="preserve">that </w:t>
      </w:r>
      <w:r w:rsidR="00D60B00">
        <w:t xml:space="preserve">section 7 </w:t>
      </w:r>
      <w:r w:rsidR="00744C57">
        <w:t xml:space="preserve">of the </w:t>
      </w:r>
      <w:r w:rsidR="00744C57" w:rsidRPr="00744C57">
        <w:rPr>
          <w:i/>
        </w:rPr>
        <w:t>Charter</w:t>
      </w:r>
      <w:r w:rsidR="00744C57">
        <w:t xml:space="preserve"> </w:t>
      </w:r>
      <w:r>
        <w:t xml:space="preserve">applies only to </w:t>
      </w:r>
      <w:r w:rsidR="00744C57">
        <w:t>government action</w:t>
      </w:r>
      <w:r w:rsidR="00CE099A">
        <w:t xml:space="preserve"> that directly threatens an individual’s physical and psychological integrity;</w:t>
      </w:r>
      <w:r w:rsidR="00CE099A" w:rsidRPr="00682149">
        <w:rPr>
          <w:vertAlign w:val="superscript"/>
        </w:rPr>
        <w:footnoteReference w:id="93"/>
      </w:r>
      <w:r w:rsidR="00CE099A">
        <w:t xml:space="preserve">  that it </w:t>
      </w:r>
      <w:r w:rsidR="00D60B00">
        <w:t>exc</w:t>
      </w:r>
      <w:r w:rsidR="00CE099A">
        <w:t>ludes socio-economic rights;</w:t>
      </w:r>
      <w:r w:rsidR="00CE099A" w:rsidRPr="005104BC">
        <w:rPr>
          <w:vertAlign w:val="superscript"/>
        </w:rPr>
        <w:footnoteReference w:id="94"/>
      </w:r>
      <w:r w:rsidR="00CE099A">
        <w:t xml:space="preserve"> and that it </w:t>
      </w:r>
      <w:r w:rsidR="00D60B00">
        <w:t>imposes no positive obligations on governments</w:t>
      </w:r>
      <w:r w:rsidR="005A7247">
        <w:t>.</w:t>
      </w:r>
      <w:r w:rsidR="006F243A" w:rsidRPr="00682149">
        <w:rPr>
          <w:vertAlign w:val="superscript"/>
        </w:rPr>
        <w:footnoteReference w:id="95"/>
      </w:r>
      <w:r w:rsidR="005A7247">
        <w:t xml:space="preserve">  Referencing Hogg</w:t>
      </w:r>
      <w:r w:rsidR="00B14C75">
        <w:t>’s analysis</w:t>
      </w:r>
      <w:r w:rsidR="005A7247">
        <w:t xml:space="preserve">, </w:t>
      </w:r>
      <w:r w:rsidR="005D5A1C">
        <w:t>Québec</w:t>
      </w:r>
      <w:r w:rsidR="006B4146">
        <w:t xml:space="preserve"> </w:t>
      </w:r>
      <w:r w:rsidR="00E7244E">
        <w:t>insist</w:t>
      </w:r>
      <w:r w:rsidR="005A7247">
        <w:t xml:space="preserve">ed that the </w:t>
      </w:r>
      <w:r w:rsidR="005A7247" w:rsidRPr="002B7550">
        <w:rPr>
          <w:i/>
        </w:rPr>
        <w:t>Charter</w:t>
      </w:r>
      <w:r w:rsidR="005A7247">
        <w:t xml:space="preserve"> d</w:t>
      </w:r>
      <w:r w:rsidR="00B14C75">
        <w:t>oes</w:t>
      </w:r>
      <w:r w:rsidR="005A7247">
        <w:t xml:space="preserve"> not permit judicial review of publicly funded social policies</w:t>
      </w:r>
      <w:r w:rsidR="00B14C75">
        <w:t xml:space="preserve"> and</w:t>
      </w:r>
      <w:r w:rsidR="007A44D0">
        <w:t xml:space="preserve"> </w:t>
      </w:r>
      <w:r w:rsidR="00186BE8">
        <w:t xml:space="preserve">that </w:t>
      </w:r>
      <w:r>
        <w:t xml:space="preserve">the principle of </w:t>
      </w:r>
      <w:r w:rsidR="005A7247">
        <w:t>Par</w:t>
      </w:r>
      <w:r>
        <w:t>liamentary sovereignty continued</w:t>
      </w:r>
      <w:r w:rsidR="005A7247">
        <w:t xml:space="preserve"> to apply</w:t>
      </w:r>
      <w:r w:rsidR="007A44D0">
        <w:t xml:space="preserve"> in this area</w:t>
      </w:r>
      <w:r w:rsidR="005A7247">
        <w:t>.</w:t>
      </w:r>
      <w:r w:rsidR="006B4146" w:rsidRPr="005104BC">
        <w:rPr>
          <w:vertAlign w:val="superscript"/>
        </w:rPr>
        <w:footnoteReference w:id="96"/>
      </w:r>
      <w:r w:rsidR="005A7247">
        <w:t xml:space="preserve">  </w:t>
      </w:r>
      <w:r w:rsidR="00B14C75">
        <w:rPr>
          <w:lang w:val="fr-CA"/>
        </w:rPr>
        <w:t>It conclud</w:t>
      </w:r>
      <w:r w:rsidR="00E7244E">
        <w:rPr>
          <w:lang w:val="fr-CA"/>
        </w:rPr>
        <w:t>ed</w:t>
      </w:r>
      <w:r w:rsidR="005A7247" w:rsidRPr="007131A3">
        <w:rPr>
          <w:lang w:val="fr-CA"/>
        </w:rPr>
        <w:t>: “L’État n’a donc aucune obligation constitutionnelle d’adopter des mesures pour promouvoir ou assurer la sécurité des personnes.”</w:t>
      </w:r>
      <w:bookmarkStart w:id="8" w:name="_Hlk495258133"/>
      <w:r w:rsidR="005A7247" w:rsidRPr="005104BC">
        <w:rPr>
          <w:vertAlign w:val="superscript"/>
        </w:rPr>
        <w:footnoteReference w:id="97"/>
      </w:r>
      <w:bookmarkEnd w:id="8"/>
      <w:r w:rsidR="005A7247" w:rsidRPr="007131A3">
        <w:rPr>
          <w:lang w:val="fr-CA"/>
        </w:rPr>
        <w:t xml:space="preserve">  </w:t>
      </w:r>
    </w:p>
    <w:p w:rsidR="005A7247" w:rsidRPr="00B413B9" w:rsidRDefault="00B413B9" w:rsidP="005A7247">
      <w:pPr>
        <w:spacing w:line="480" w:lineRule="auto"/>
        <w:ind w:firstLine="720"/>
      </w:pPr>
      <w:r w:rsidRPr="00B413B9">
        <w:t>In its intervention</w:t>
      </w:r>
      <w:r>
        <w:t xml:space="preserve"> </w:t>
      </w:r>
      <w:r w:rsidR="0040455A">
        <w:t xml:space="preserve">before the Supreme Court </w:t>
      </w:r>
      <w:r>
        <w:t xml:space="preserve">in </w:t>
      </w:r>
      <w:r w:rsidRPr="003610E9">
        <w:rPr>
          <w:i/>
        </w:rPr>
        <w:t>Gosselin</w:t>
      </w:r>
      <w:r w:rsidRPr="00B413B9">
        <w:t>, the Attorney Ge</w:t>
      </w:r>
      <w:r>
        <w:t xml:space="preserve">neral of Ontario </w:t>
      </w:r>
      <w:r w:rsidR="0050543C">
        <w:t xml:space="preserve">likewise </w:t>
      </w:r>
      <w:r w:rsidR="00714D07">
        <w:t>maintained that “section 7 exists to constrain government action</w:t>
      </w:r>
      <w:r w:rsidR="0050543C">
        <w:t xml:space="preserve"> rather than to impose an obligation on the government to provide a minimum guaranteed income</w:t>
      </w:r>
      <w:r w:rsidR="00714D07">
        <w:t>”</w:t>
      </w:r>
      <w:r w:rsidR="006B4146" w:rsidRPr="00682149">
        <w:rPr>
          <w:vertAlign w:val="superscript"/>
        </w:rPr>
        <w:footnoteReference w:id="98"/>
      </w:r>
      <w:r w:rsidR="00714D07">
        <w:t xml:space="preserve"> and it </w:t>
      </w:r>
      <w:r>
        <w:t>invoked Hogg</w:t>
      </w:r>
      <w:r w:rsidR="003610E9">
        <w:t xml:space="preserve">’s warning about </w:t>
      </w:r>
      <w:r>
        <w:t>the wide arr</w:t>
      </w:r>
      <w:r w:rsidR="002D3EED">
        <w:t>ay of social programs</w:t>
      </w:r>
      <w:r>
        <w:t xml:space="preserve"> </w:t>
      </w:r>
      <w:r w:rsidR="007131A3">
        <w:t xml:space="preserve">in the areas of </w:t>
      </w:r>
      <w:r>
        <w:t>housing, health care, utilities, food</w:t>
      </w:r>
      <w:r w:rsidR="003610E9">
        <w:t>,</w:t>
      </w:r>
      <w:r>
        <w:t xml:space="preserve"> and others, that would become subject to judicial review if section 7 were read to include positive obligations.</w:t>
      </w:r>
      <w:r w:rsidR="006B4146" w:rsidRPr="005104BC">
        <w:rPr>
          <w:vertAlign w:val="superscript"/>
        </w:rPr>
        <w:footnoteReference w:id="99"/>
      </w:r>
      <w:r>
        <w:t xml:space="preserve">  </w:t>
      </w:r>
      <w:r w:rsidR="003610E9">
        <w:t>Pointing out that “the courts have consistently ruled that … section 7 does not impose positive legal obligations on governments”</w:t>
      </w:r>
      <w:r w:rsidR="007A44D0">
        <w:t>,</w:t>
      </w:r>
      <w:r w:rsidR="006B4146" w:rsidRPr="005104BC">
        <w:rPr>
          <w:vertAlign w:val="superscript"/>
        </w:rPr>
        <w:footnoteReference w:id="100"/>
      </w:r>
      <w:r w:rsidR="003610E9">
        <w:t xml:space="preserve"> </w:t>
      </w:r>
      <w:r w:rsidR="0050543C">
        <w:t>Ontario averr</w:t>
      </w:r>
      <w:r w:rsidR="007131A3">
        <w:t>ed that “section 7 is restricted to th</w:t>
      </w:r>
      <w:r w:rsidR="00186BE8">
        <w:t>e protection of individuals from</w:t>
      </w:r>
      <w:r w:rsidR="007131A3">
        <w:t xml:space="preserve"> direct state interference with physical and psychological integrity.”</w:t>
      </w:r>
      <w:r w:rsidR="006B4146" w:rsidRPr="005104BC">
        <w:rPr>
          <w:vertAlign w:val="superscript"/>
        </w:rPr>
        <w:footnoteReference w:id="101"/>
      </w:r>
    </w:p>
    <w:p w:rsidR="00A058B8" w:rsidRDefault="00A058B8" w:rsidP="00A058B8">
      <w:pPr>
        <w:spacing w:line="480" w:lineRule="auto"/>
      </w:pPr>
    </w:p>
    <w:p w:rsidR="00A058B8" w:rsidRPr="001C7421" w:rsidRDefault="001C7421" w:rsidP="001C7421">
      <w:pPr>
        <w:pStyle w:val="Paragraphedeliste"/>
        <w:numPr>
          <w:ilvl w:val="0"/>
          <w:numId w:val="14"/>
        </w:numPr>
        <w:spacing w:line="480" w:lineRule="auto"/>
        <w:rPr>
          <w:b/>
        </w:rPr>
      </w:pPr>
      <w:r>
        <w:rPr>
          <w:b/>
        </w:rPr>
        <w:t>The Supreme Court’s R</w:t>
      </w:r>
      <w:r w:rsidR="00A058B8" w:rsidRPr="001C7421">
        <w:rPr>
          <w:b/>
        </w:rPr>
        <w:t>uling</w:t>
      </w:r>
      <w:r w:rsidR="00391A99">
        <w:rPr>
          <w:b/>
        </w:rPr>
        <w:t xml:space="preserve"> on Positive Obligations</w:t>
      </w:r>
      <w:r w:rsidR="007A44D0">
        <w:rPr>
          <w:b/>
        </w:rPr>
        <w:t xml:space="preserve"> in </w:t>
      </w:r>
      <w:r w:rsidR="007A44D0" w:rsidRPr="007A44D0">
        <w:rPr>
          <w:b/>
          <w:i/>
        </w:rPr>
        <w:t>Gosselin</w:t>
      </w:r>
    </w:p>
    <w:p w:rsidR="002D3EED" w:rsidRDefault="0050543C" w:rsidP="00282299">
      <w:pPr>
        <w:spacing w:line="480" w:lineRule="auto"/>
        <w:ind w:firstLine="720"/>
      </w:pPr>
      <w:r>
        <w:t xml:space="preserve">This </w:t>
      </w:r>
      <w:r w:rsidR="007B5C11">
        <w:t xml:space="preserve">narrow reading of section 7 was rejected by </w:t>
      </w:r>
      <w:r w:rsidR="00744C57">
        <w:t xml:space="preserve">eight </w:t>
      </w:r>
      <w:r w:rsidR="00497DEA">
        <w:t xml:space="preserve">of the </w:t>
      </w:r>
      <w:r w:rsidR="00744C57">
        <w:t>nine</w:t>
      </w:r>
      <w:r>
        <w:t xml:space="preserve"> Supreme Court </w:t>
      </w:r>
      <w:r w:rsidR="007B5C11">
        <w:t>justices</w:t>
      </w:r>
      <w:r>
        <w:t xml:space="preserve"> in </w:t>
      </w:r>
      <w:r w:rsidRPr="0050543C">
        <w:rPr>
          <w:i/>
        </w:rPr>
        <w:t>Gosselin</w:t>
      </w:r>
      <w:r w:rsidR="007B5C11">
        <w:t xml:space="preserve">.  </w:t>
      </w:r>
      <w:r w:rsidR="00C65F92">
        <w:t xml:space="preserve">Only </w:t>
      </w:r>
      <w:r w:rsidR="007B5C11">
        <w:t>Justice Bastarache</w:t>
      </w:r>
      <w:r w:rsidR="0073416B">
        <w:t xml:space="preserve"> took the position</w:t>
      </w:r>
      <w:r w:rsidR="002D3EED">
        <w:t xml:space="preserve"> that “</w:t>
      </w:r>
      <w:r w:rsidR="00C65F92">
        <w:t>a s. 7 claim must arise as a determinative state action that in and of itself deprives the claimant of the right to life, liberty and security of the person</w:t>
      </w:r>
      <w:r w:rsidR="00282299">
        <w:t>.</w:t>
      </w:r>
      <w:r w:rsidR="00C65F92">
        <w:t>”</w:t>
      </w:r>
      <w:r w:rsidR="00C65F92" w:rsidRPr="005104BC">
        <w:rPr>
          <w:vertAlign w:val="superscript"/>
        </w:rPr>
        <w:footnoteReference w:id="102"/>
      </w:r>
      <w:r w:rsidR="00464B06">
        <w:t xml:space="preserve"> </w:t>
      </w:r>
      <w:r>
        <w:t xml:space="preserve"> Justice Bastarache maintain</w:t>
      </w:r>
      <w:r w:rsidR="00282299">
        <w:t xml:space="preserve">ed </w:t>
      </w:r>
      <w:r w:rsidR="00C65F92">
        <w:t xml:space="preserve">that Louise Gosselin’s </w:t>
      </w:r>
      <w:r w:rsidR="0040689A">
        <w:t xml:space="preserve">section 7 </w:t>
      </w:r>
      <w:r w:rsidR="00C65F92">
        <w:t xml:space="preserve">claim </w:t>
      </w:r>
      <w:r w:rsidR="002D3EED">
        <w:t xml:space="preserve">could not succeed because </w:t>
      </w:r>
      <w:r w:rsidR="00C65F92">
        <w:t xml:space="preserve">the threat to her security of the person </w:t>
      </w:r>
      <w:r w:rsidR="00282299">
        <w:t>“was brought upon her by the vagaries of a weak economy not by the legislature’s decision not to accord her more financial assistance</w:t>
      </w:r>
      <w:r w:rsidR="00464B06">
        <w:t>.</w:t>
      </w:r>
      <w:r w:rsidR="00C65F92">
        <w:t>”</w:t>
      </w:r>
      <w:r w:rsidR="00C65F92" w:rsidRPr="005104BC">
        <w:rPr>
          <w:vertAlign w:val="superscript"/>
        </w:rPr>
        <w:footnoteReference w:id="103"/>
      </w:r>
      <w:r w:rsidR="00464B06">
        <w:t xml:space="preserve">  He </w:t>
      </w:r>
      <w:r w:rsidR="00E7244E">
        <w:t xml:space="preserve">concluded </w:t>
      </w:r>
      <w:r w:rsidR="00464B06">
        <w:t>that any harm caused by the under</w:t>
      </w:r>
      <w:r w:rsidR="00C30036">
        <w:t>-</w:t>
      </w:r>
      <w:r w:rsidR="00464B06">
        <w:t xml:space="preserve">inclusive nature of the </w:t>
      </w:r>
      <w:r>
        <w:t xml:space="preserve">welfare </w:t>
      </w:r>
      <w:r w:rsidR="00282299">
        <w:t xml:space="preserve">regime </w:t>
      </w:r>
      <w:r w:rsidR="00464B06">
        <w:t xml:space="preserve">could </w:t>
      </w:r>
      <w:r w:rsidR="00282299">
        <w:t xml:space="preserve">be </w:t>
      </w:r>
      <w:r w:rsidR="00850C9D">
        <w:t xml:space="preserve">successfully </w:t>
      </w:r>
      <w:r w:rsidR="00282299">
        <w:t>challenged</w:t>
      </w:r>
      <w:r w:rsidR="002D3EED">
        <w:t xml:space="preserve"> only under section 15</w:t>
      </w:r>
      <w:r w:rsidR="00282299">
        <w:t>.</w:t>
      </w:r>
      <w:r w:rsidR="007A44D0" w:rsidRPr="005104BC">
        <w:rPr>
          <w:vertAlign w:val="superscript"/>
        </w:rPr>
        <w:footnoteReference w:id="104"/>
      </w:r>
      <w:r w:rsidR="00282299">
        <w:t xml:space="preserve">  </w:t>
      </w:r>
    </w:p>
    <w:p w:rsidR="007718E3" w:rsidRDefault="0040689A" w:rsidP="002D3EED">
      <w:pPr>
        <w:spacing w:line="480" w:lineRule="auto"/>
        <w:ind w:firstLine="720"/>
      </w:pPr>
      <w:r>
        <w:t xml:space="preserve">While agreeing </w:t>
      </w:r>
      <w:r w:rsidR="00704754">
        <w:t xml:space="preserve">with </w:t>
      </w:r>
      <w:r w:rsidR="00B14C75">
        <w:t xml:space="preserve">his </w:t>
      </w:r>
      <w:r w:rsidR="0088436A">
        <w:t xml:space="preserve">finding that </w:t>
      </w:r>
      <w:r w:rsidR="0050543C">
        <w:t xml:space="preserve">the impugned </w:t>
      </w:r>
      <w:r w:rsidR="0050543C" w:rsidRPr="0050543C">
        <w:rPr>
          <w:i/>
        </w:rPr>
        <w:t>Regulation</w:t>
      </w:r>
      <w:r w:rsidR="0050543C">
        <w:t xml:space="preserve"> </w:t>
      </w:r>
      <w:r>
        <w:t>violated Louise Gosselin’s section 15 rights,</w:t>
      </w:r>
      <w:r w:rsidR="003D619E" w:rsidRPr="005104BC">
        <w:rPr>
          <w:vertAlign w:val="superscript"/>
        </w:rPr>
        <w:footnoteReference w:id="105"/>
      </w:r>
      <w:r>
        <w:t xml:space="preserve"> Justice LeBel </w:t>
      </w:r>
      <w:r w:rsidR="00282299">
        <w:t>dis</w:t>
      </w:r>
      <w:r>
        <w:t>agree</w:t>
      </w:r>
      <w:r w:rsidR="00282299">
        <w:t>d</w:t>
      </w:r>
      <w:r>
        <w:t xml:space="preserve"> with </w:t>
      </w:r>
      <w:r w:rsidR="00B14C75">
        <w:t>Justice Bastarache’s</w:t>
      </w:r>
      <w:r w:rsidR="00704754">
        <w:t xml:space="preserve"> “</w:t>
      </w:r>
      <w:r>
        <w:t>interpretation and application</w:t>
      </w:r>
      <w:r w:rsidR="0088436A">
        <w:t xml:space="preserve">” </w:t>
      </w:r>
      <w:r w:rsidR="0050543C">
        <w:t>of section 7</w:t>
      </w:r>
      <w:r w:rsidR="002D3EED">
        <w:t>.</w:t>
      </w:r>
      <w:r w:rsidRPr="005104BC">
        <w:rPr>
          <w:vertAlign w:val="superscript"/>
        </w:rPr>
        <w:footnoteReference w:id="106"/>
      </w:r>
      <w:r>
        <w:t xml:space="preserve">  </w:t>
      </w:r>
      <w:r w:rsidR="0073416B">
        <w:t xml:space="preserve">Chief Justice McLachlin, with the concurrence of </w:t>
      </w:r>
      <w:r>
        <w:t xml:space="preserve">Justices Gonthier, Iacobucci, Major and Binnie, also rejected Justice Bastarache’s </w:t>
      </w:r>
      <w:r w:rsidR="0088436A">
        <w:t xml:space="preserve">argument </w:t>
      </w:r>
      <w:r w:rsidR="0073416B">
        <w:t>that section 7 could not apply absent state action.</w:t>
      </w:r>
      <w:r w:rsidR="003D619E" w:rsidRPr="005104BC">
        <w:rPr>
          <w:vertAlign w:val="superscript"/>
        </w:rPr>
        <w:footnoteReference w:id="107"/>
      </w:r>
      <w:r w:rsidR="0073416B">
        <w:t xml:space="preserve">  </w:t>
      </w:r>
      <w:r w:rsidR="00704754">
        <w:t xml:space="preserve">The </w:t>
      </w:r>
      <w:r w:rsidR="0050543C">
        <w:t xml:space="preserve">Chief </w:t>
      </w:r>
      <w:r w:rsidR="002D3EED">
        <w:t>Justice not</w:t>
      </w:r>
      <w:r w:rsidR="00D334D1">
        <w:t xml:space="preserve">ed that </w:t>
      </w:r>
      <w:r w:rsidR="00854AC0">
        <w:t xml:space="preserve">section 7 had so far been interpreted by the </w:t>
      </w:r>
      <w:r w:rsidR="00850C9D">
        <w:t xml:space="preserve">Supreme </w:t>
      </w:r>
      <w:r w:rsidR="00854AC0">
        <w:t>Court as a negative guarantee restricting the state from depriving people of life, liberty or security of the person</w:t>
      </w:r>
      <w:r w:rsidR="00243143">
        <w:t>.</w:t>
      </w:r>
      <w:r w:rsidR="001967D6" w:rsidRPr="00F177F1">
        <w:rPr>
          <w:vertAlign w:val="superscript"/>
        </w:rPr>
        <w:footnoteReference w:id="108"/>
      </w:r>
      <w:r w:rsidR="001967D6">
        <w:t xml:space="preserve"> </w:t>
      </w:r>
      <w:r w:rsidR="00D334D1">
        <w:t xml:space="preserve"> </w:t>
      </w:r>
      <w:r w:rsidR="00243143">
        <w:t xml:space="preserve">However she </w:t>
      </w:r>
      <w:r w:rsidR="00D334D1">
        <w:t>affirmed that “One day section 7 may be interpreted to included positive obligations.”  Referring to Lord Sankey’s “living tree” metaphor</w:t>
      </w:r>
      <w:r w:rsidR="00704754">
        <w:t>,</w:t>
      </w:r>
      <w:r w:rsidR="001967D6" w:rsidRPr="005104BC">
        <w:rPr>
          <w:vertAlign w:val="superscript"/>
        </w:rPr>
        <w:footnoteReference w:id="109"/>
      </w:r>
      <w:r w:rsidR="00D334D1">
        <w:t xml:space="preserve"> a</w:t>
      </w:r>
      <w:r w:rsidR="001967D6">
        <w:t>nd</w:t>
      </w:r>
      <w:r w:rsidR="00D334D1">
        <w:t xml:space="preserve"> to Justice LeBel’s caution </w:t>
      </w:r>
      <w:r w:rsidR="0088436A">
        <w:t xml:space="preserve">in </w:t>
      </w:r>
      <w:r w:rsidR="0088436A" w:rsidRPr="001967D6">
        <w:rPr>
          <w:i/>
        </w:rPr>
        <w:t>Blencoe v. British Columbia (Human Rights Commission)</w:t>
      </w:r>
      <w:r w:rsidR="001967D6" w:rsidRPr="005104BC">
        <w:rPr>
          <w:vertAlign w:val="superscript"/>
        </w:rPr>
        <w:footnoteReference w:id="110"/>
      </w:r>
      <w:r w:rsidR="0088436A">
        <w:t xml:space="preserve"> “that it would be dangerous to freeze the development</w:t>
      </w:r>
      <w:r w:rsidR="001967D6">
        <w:t>” of section 7,</w:t>
      </w:r>
      <w:r w:rsidR="001967D6" w:rsidRPr="005104BC">
        <w:rPr>
          <w:vertAlign w:val="superscript"/>
        </w:rPr>
        <w:footnoteReference w:id="111"/>
      </w:r>
      <w:r w:rsidR="0088436A">
        <w:t xml:space="preserve"> </w:t>
      </w:r>
      <w:r w:rsidR="00D334D1">
        <w:t xml:space="preserve">the Chief Justice </w:t>
      </w:r>
      <w:r w:rsidR="0088436A">
        <w:t>concluded</w:t>
      </w:r>
      <w:r w:rsidR="007718E3" w:rsidRPr="001215BB">
        <w:t xml:space="preserve">: </w:t>
      </w:r>
    </w:p>
    <w:p w:rsidR="00704754" w:rsidRDefault="007718E3" w:rsidP="00704754">
      <w:pPr>
        <w:spacing w:line="240" w:lineRule="auto"/>
        <w:ind w:left="567" w:right="567"/>
      </w:pPr>
      <w:r>
        <w:t xml:space="preserve">The question </w:t>
      </w:r>
      <w:r w:rsidR="0088436A">
        <w:t>therefore</w:t>
      </w:r>
      <w:r w:rsidRPr="001215BB">
        <w:t xml:space="preserve"> is not whether s. 7 has ever been – or will ever be – recognized as creating positive rights. Rather, the question is whether the present circumstances warrant a novel application of s. 7 as the basis for a positive state obligation to guarante</w:t>
      </w:r>
      <w:r w:rsidR="00391A99">
        <w:t>e adequate living standards</w:t>
      </w:r>
      <w:r>
        <w:t xml:space="preserve"> ...  I leave open the possibility that a positive obligation to sustain life, liberty or security of the person may be made out in special circumstances.  H</w:t>
      </w:r>
      <w:r w:rsidR="00391A99">
        <w:t>owever, this is not such a case</w:t>
      </w:r>
      <w:r>
        <w:t>.</w:t>
      </w:r>
      <w:r w:rsidRPr="005104BC">
        <w:rPr>
          <w:vertAlign w:val="superscript"/>
        </w:rPr>
        <w:footnoteReference w:id="112"/>
      </w:r>
    </w:p>
    <w:p w:rsidR="007718E3" w:rsidRDefault="007718E3" w:rsidP="00704754">
      <w:pPr>
        <w:spacing w:line="240" w:lineRule="auto"/>
        <w:ind w:left="567" w:right="567"/>
      </w:pPr>
      <w:r w:rsidRPr="001215BB">
        <w:t xml:space="preserve">  </w:t>
      </w:r>
    </w:p>
    <w:p w:rsidR="00FC4986" w:rsidRDefault="0050543C" w:rsidP="002D3EED">
      <w:pPr>
        <w:spacing w:line="480" w:lineRule="auto"/>
        <w:ind w:firstLine="720"/>
      </w:pPr>
      <w:r>
        <w:t xml:space="preserve">Justices Arbour and L’Heureux-Dubé not only rejected the narrow reading of section 7 </w:t>
      </w:r>
      <w:r w:rsidR="00391A99">
        <w:t xml:space="preserve">put forward by the province and </w:t>
      </w:r>
      <w:r>
        <w:t xml:space="preserve">adopted by </w:t>
      </w:r>
      <w:r w:rsidR="00B14C75">
        <w:t xml:space="preserve">Justice Bastarache and </w:t>
      </w:r>
      <w:r>
        <w:t>the trial</w:t>
      </w:r>
      <w:r w:rsidR="007A32E3">
        <w:t xml:space="preserve"> and Court of Appeal</w:t>
      </w:r>
      <w:r>
        <w:t xml:space="preserve">, </w:t>
      </w:r>
      <w:r w:rsidR="00391A99">
        <w:t xml:space="preserve">they further held </w:t>
      </w:r>
      <w:r>
        <w:t xml:space="preserve">that Louise Gosselin’s section 7 </w:t>
      </w:r>
      <w:r w:rsidR="00391A99">
        <w:t xml:space="preserve">rights </w:t>
      </w:r>
      <w:r>
        <w:t>were violated by the gross inadequacy o</w:t>
      </w:r>
      <w:r w:rsidR="002D3EED">
        <w:t xml:space="preserve">f the welfare benefits provided by the </w:t>
      </w:r>
      <w:r w:rsidR="002D3EED" w:rsidRPr="002D3EED">
        <w:rPr>
          <w:i/>
        </w:rPr>
        <w:t>Regulation</w:t>
      </w:r>
      <w:r>
        <w:t xml:space="preserve">.  </w:t>
      </w:r>
      <w:r w:rsidR="00282299">
        <w:t>In contrast to the C</w:t>
      </w:r>
      <w:r w:rsidR="00391A99">
        <w:t>hief Justice’s focus on previous</w:t>
      </w:r>
      <w:r w:rsidR="00282299">
        <w:t xml:space="preserve"> jurisprudence</w:t>
      </w:r>
      <w:r w:rsidR="001967D6">
        <w:t xml:space="preserve">, </w:t>
      </w:r>
      <w:r w:rsidR="00FC4986">
        <w:t>Justice Arbour argued:</w:t>
      </w:r>
    </w:p>
    <w:p w:rsidR="00FC4986" w:rsidRDefault="00FC4986" w:rsidP="00FC4986">
      <w:pPr>
        <w:spacing w:line="240" w:lineRule="auto"/>
        <w:ind w:left="567" w:right="567"/>
      </w:pPr>
      <w:r w:rsidRPr="005061EF">
        <w:t>There is a suggestion that s. 7 contains only negative rights of non-interference and therefore cannot be implicated absent any positive state action.  This is a view that is commonly expressed, but rarely examined … We must not sidestep a determination of this issue by assuming from the start that s. 7 includes a requirement of affirmative state action.  That would be to beg the very question that needs answering.</w:t>
      </w:r>
      <w:bookmarkStart w:id="9" w:name="_Ref467492647"/>
      <w:r w:rsidRPr="005061EF">
        <w:rPr>
          <w:vertAlign w:val="superscript"/>
        </w:rPr>
        <w:footnoteReference w:id="113"/>
      </w:r>
      <w:bookmarkEnd w:id="9"/>
    </w:p>
    <w:p w:rsidR="00FC4986" w:rsidRDefault="00FC4986" w:rsidP="00FC4986">
      <w:pPr>
        <w:spacing w:line="240" w:lineRule="auto"/>
        <w:ind w:left="567" w:right="567"/>
      </w:pPr>
      <w:r w:rsidRPr="00977590">
        <w:t xml:space="preserve"> </w:t>
      </w:r>
    </w:p>
    <w:p w:rsidR="00981EE2" w:rsidRDefault="00981EE2" w:rsidP="00FC4986">
      <w:pPr>
        <w:spacing w:line="480" w:lineRule="auto"/>
      </w:pPr>
      <w:r w:rsidRPr="00F177F1">
        <w:t xml:space="preserve">Justice Arbour </w:t>
      </w:r>
      <w:r w:rsidR="00391A99">
        <w:t xml:space="preserve">underscored </w:t>
      </w:r>
      <w:r>
        <w:t>the need to</w:t>
      </w:r>
      <w:r w:rsidRPr="00F177F1">
        <w:t xml:space="preserve"> “deconstruct the various firewalls that are said to exist around s.7”,</w:t>
      </w:r>
      <w:r w:rsidRPr="00F177F1">
        <w:rPr>
          <w:vertAlign w:val="superscript"/>
        </w:rPr>
        <w:footnoteReference w:id="114"/>
      </w:r>
      <w:r w:rsidRPr="00F177F1">
        <w:t xml:space="preserve"> starting with the premise that the exclusion of property rights from section 7 was determinative of Louise Gosselin’s claim.</w:t>
      </w:r>
      <w:r w:rsidRPr="00F177F1">
        <w:rPr>
          <w:vertAlign w:val="superscript"/>
        </w:rPr>
        <w:footnoteReference w:id="115"/>
      </w:r>
      <w:r w:rsidRPr="00F177F1">
        <w:t xml:space="preserve">  Referring to the distinction drawn by Chief Justice Dickson in </w:t>
      </w:r>
      <w:r w:rsidRPr="00F177F1">
        <w:rPr>
          <w:i/>
        </w:rPr>
        <w:t>Irwin Toy</w:t>
      </w:r>
      <w:r w:rsidRPr="00F177F1">
        <w:t>,</w:t>
      </w:r>
      <w:r w:rsidR="002D3EED" w:rsidRPr="00F177F1">
        <w:rPr>
          <w:vertAlign w:val="superscript"/>
        </w:rPr>
        <w:footnoteReference w:id="116"/>
      </w:r>
      <w:r w:rsidRPr="00F177F1">
        <w:t xml:space="preserve"> between “corporate-commercial economic rights” and “economic rights fundamental</w:t>
      </w:r>
      <w:r w:rsidR="00391A99">
        <w:t xml:space="preserve"> to human life or survival”, Justice Arbour</w:t>
      </w:r>
      <w:r w:rsidRPr="00F177F1">
        <w:t xml:space="preserve"> argue</w:t>
      </w:r>
      <w:r>
        <w:t>d</w:t>
      </w:r>
      <w:r w:rsidRPr="00F177F1">
        <w:t xml:space="preserve"> that: “the rights at issue here are so intimately intertwined with considerations related to one’s basic health (and hence ‘security of the person’) – and, at the limit, even of one’s survival (and hence ‘life’) – that … it is a gross mischaracterization to attach to them the label of ‘economic rights’.”</w:t>
      </w:r>
      <w:r w:rsidRPr="00F177F1">
        <w:rPr>
          <w:vertAlign w:val="superscript"/>
        </w:rPr>
        <w:footnoteReference w:id="117"/>
      </w:r>
      <w:r>
        <w:t xml:space="preserve">  </w:t>
      </w:r>
    </w:p>
    <w:p w:rsidR="009B3DFB" w:rsidRDefault="00981EE2" w:rsidP="009B59FC">
      <w:pPr>
        <w:spacing w:line="480" w:lineRule="auto"/>
        <w:ind w:firstLine="720"/>
      </w:pPr>
      <w:r w:rsidRPr="00F177F1">
        <w:t xml:space="preserve">Justice Arbour </w:t>
      </w:r>
      <w:r w:rsidR="00204432">
        <w:t>contest</w:t>
      </w:r>
      <w:r>
        <w:t xml:space="preserve">ed </w:t>
      </w:r>
      <w:r w:rsidR="00391A99">
        <w:t>the proposi</w:t>
      </w:r>
      <w:r w:rsidRPr="00F177F1">
        <w:t>tion that section 7 rights “cannot be implicated absent any positive state action”</w:t>
      </w:r>
      <w:r w:rsidRPr="00F177F1">
        <w:rPr>
          <w:vertAlign w:val="superscript"/>
        </w:rPr>
        <w:footnoteReference w:id="118"/>
      </w:r>
      <w:r w:rsidRPr="00F177F1">
        <w:t xml:space="preserve"> as contradicted by the language of section 7 itself, as we</w:t>
      </w:r>
      <w:r w:rsidR="00391A99">
        <w:t>ll as by Supreme Court</w:t>
      </w:r>
      <w:r w:rsidR="00CA1D99">
        <w:t xml:space="preserve"> jurisprudence</w:t>
      </w:r>
      <w:r w:rsidR="00204432">
        <w:t>,</w:t>
      </w:r>
      <w:r w:rsidR="001F2469" w:rsidRPr="00F177F1">
        <w:rPr>
          <w:vertAlign w:val="superscript"/>
        </w:rPr>
        <w:footnoteReference w:id="119"/>
      </w:r>
      <w:r w:rsidR="00204432">
        <w:t xml:space="preserve"> including the </w:t>
      </w:r>
      <w:r w:rsidR="007A32E3">
        <w:t xml:space="preserve">Court’s </w:t>
      </w:r>
      <w:r w:rsidR="00391A99">
        <w:t xml:space="preserve">decision in </w:t>
      </w:r>
      <w:r w:rsidRPr="00F177F1">
        <w:rPr>
          <w:i/>
        </w:rPr>
        <w:t>New Brunswick (Minister of Health and Community Services v. G. (J.)</w:t>
      </w:r>
      <w:r w:rsidRPr="00F177F1">
        <w:t xml:space="preserve"> </w:t>
      </w:r>
      <w:r w:rsidR="00204432">
        <w:t xml:space="preserve">in which </w:t>
      </w:r>
      <w:r w:rsidR="007A32E3">
        <w:t xml:space="preserve">Chief Justice Lamer </w:t>
      </w:r>
      <w:r w:rsidR="00204432">
        <w:t xml:space="preserve">imposed </w:t>
      </w:r>
      <w:r w:rsidRPr="00F177F1">
        <w:t xml:space="preserve">a positive obligation </w:t>
      </w:r>
      <w:r w:rsidR="002D3EED">
        <w:t xml:space="preserve">on the provincial government </w:t>
      </w:r>
      <w:r w:rsidRPr="00F177F1">
        <w:t>to provide</w:t>
      </w:r>
      <w:r w:rsidR="00666055">
        <w:t xml:space="preserve"> state funded legal counsel to a mother in receipt of social assistance in a child protection proceeding</w:t>
      </w:r>
      <w:r w:rsidRPr="00F177F1">
        <w:t>.</w:t>
      </w:r>
      <w:r w:rsidR="001F2469" w:rsidRPr="00F177F1">
        <w:rPr>
          <w:vertAlign w:val="superscript"/>
        </w:rPr>
        <w:footnoteReference w:id="120"/>
      </w:r>
      <w:r w:rsidR="00666055">
        <w:t xml:space="preserve">  Justice Arbour</w:t>
      </w:r>
      <w:r w:rsidRPr="00F177F1">
        <w:t xml:space="preserve"> further </w:t>
      </w:r>
      <w:r>
        <w:t>questioned</w:t>
      </w:r>
      <w:r w:rsidRPr="00F177F1">
        <w:t xml:space="preserve"> “the general assertion that positive claims against the state for the provision of certain needs are not justiciable” because deciding them would, in Peter Hogg’s words, “bring under judicial scrutiny all of the elements of the modern welfare state”</w:t>
      </w:r>
      <w:r w:rsidR="00704754">
        <w:t xml:space="preserve">, </w:t>
      </w:r>
      <w:r w:rsidRPr="00F177F1">
        <w:t>something the courts are not competent to do.</w:t>
      </w:r>
      <w:r w:rsidRPr="00F177F1">
        <w:rPr>
          <w:vertAlign w:val="superscript"/>
        </w:rPr>
        <w:footnoteReference w:id="121"/>
      </w:r>
      <w:r w:rsidRPr="00F177F1">
        <w:rPr>
          <w:vertAlign w:val="superscript"/>
        </w:rPr>
        <w:t xml:space="preserve"> </w:t>
      </w:r>
      <w:r w:rsidRPr="00F177F1">
        <w:t xml:space="preserve"> Justice Arbour</w:t>
      </w:r>
      <w:r>
        <w:t xml:space="preserve"> countered</w:t>
      </w:r>
      <w:r w:rsidRPr="00F177F1">
        <w:t xml:space="preserve"> that: “While it may be true that courts are ill-equipped to decide policy matters concerning resource allocation – questions of how much the state should spend, and in what manner – this does not support the conclusion that justiciability is a threshold issue barring the consideration of the substantive claim in this case.”</w:t>
      </w:r>
      <w:r w:rsidRPr="00F177F1">
        <w:rPr>
          <w:vertAlign w:val="superscript"/>
        </w:rPr>
        <w:footnoteReference w:id="122"/>
      </w:r>
      <w:r>
        <w:t xml:space="preserve">  </w:t>
      </w:r>
      <w:r w:rsidR="002D3EED">
        <w:t>Justice Arbour conclud</w:t>
      </w:r>
      <w:r>
        <w:t xml:space="preserve">ed that “any acceptable approach to </w:t>
      </w:r>
      <w:r w:rsidRPr="00FD35C6">
        <w:rPr>
          <w:i/>
        </w:rPr>
        <w:t>Charter</w:t>
      </w:r>
      <w:r>
        <w:t xml:space="preserve"> interpretation – be it textual, contextual or purposive – quickly makes apparent that interpreting the rights contained in s. 7 as including a positive component is not only possible, but necessary.</w:t>
      </w:r>
      <w:bookmarkStart w:id="10" w:name="_Hlk495391656"/>
      <w:r w:rsidRPr="00D038A6">
        <w:rPr>
          <w:vertAlign w:val="superscript"/>
        </w:rPr>
        <w:footnoteReference w:id="123"/>
      </w:r>
      <w:bookmarkEnd w:id="10"/>
      <w:r w:rsidR="00943267">
        <w:t xml:space="preserve">   </w:t>
      </w:r>
    </w:p>
    <w:p w:rsidR="00AF7C90" w:rsidRDefault="00497DEA" w:rsidP="00E43C12">
      <w:pPr>
        <w:spacing w:line="480" w:lineRule="auto"/>
        <w:ind w:firstLine="720"/>
      </w:pPr>
      <w:r>
        <w:t xml:space="preserve">In summary, eight of nine Supreme Court justices in the </w:t>
      </w:r>
      <w:r w:rsidRPr="00464B06">
        <w:rPr>
          <w:i/>
        </w:rPr>
        <w:t>Gosselin</w:t>
      </w:r>
      <w:r>
        <w:t xml:space="preserve"> case rejected the</w:t>
      </w:r>
      <w:r w:rsidR="00D54FFE">
        <w:t xml:space="preserve"> </w:t>
      </w:r>
      <w:r w:rsidR="00D05E3E">
        <w:t xml:space="preserve">argument </w:t>
      </w:r>
      <w:r>
        <w:t xml:space="preserve">that section 7 </w:t>
      </w:r>
      <w:r w:rsidR="00D54FFE">
        <w:t xml:space="preserve">could not be invoked absent </w:t>
      </w:r>
      <w:r w:rsidR="0018220E">
        <w:t xml:space="preserve">direct state action and </w:t>
      </w:r>
      <w:r w:rsidR="009B3DFB">
        <w:t>could</w:t>
      </w:r>
      <w:r>
        <w:t xml:space="preserve"> not </w:t>
      </w:r>
      <w:r w:rsidR="00C7338C">
        <w:t xml:space="preserve">be applied to </w:t>
      </w:r>
      <w:r w:rsidR="00464B06">
        <w:t xml:space="preserve">impose </w:t>
      </w:r>
      <w:r>
        <w:t>positive obligations on governments</w:t>
      </w:r>
      <w:r w:rsidR="0018220E">
        <w:t xml:space="preserve"> to protect, life, liberty and security of the person</w:t>
      </w:r>
      <w:r>
        <w:t xml:space="preserve">.  </w:t>
      </w:r>
      <w:r w:rsidR="00102008">
        <w:t>While a</w:t>
      </w:r>
      <w:r w:rsidR="000F3DDD">
        <w:t xml:space="preserve"> </w:t>
      </w:r>
      <w:r w:rsidR="00464B06">
        <w:t>m</w:t>
      </w:r>
      <w:r w:rsidR="000F3DDD">
        <w:t xml:space="preserve">ajority of the Court upheld Justice Reeves’ </w:t>
      </w:r>
      <w:r w:rsidR="00464B06">
        <w:t>finding that the evidentiary record was insufficient to support Louis</w:t>
      </w:r>
      <w:r w:rsidR="00593108">
        <w:t>e</w:t>
      </w:r>
      <w:r w:rsidR="00464B06">
        <w:t xml:space="preserve"> Gosselin’s</w:t>
      </w:r>
      <w:r w:rsidR="00593108">
        <w:t xml:space="preserve"> challenge</w:t>
      </w:r>
      <w:r w:rsidR="00464B06">
        <w:t xml:space="preserve">, </w:t>
      </w:r>
      <w:r w:rsidR="00102008">
        <w:t xml:space="preserve">the Court explicitly </w:t>
      </w:r>
      <w:r w:rsidR="00901A94">
        <w:t>left open the possibility that section 7 could be read to include</w:t>
      </w:r>
      <w:r w:rsidR="0018220E">
        <w:t xml:space="preserve"> socio-economic rights.  Justices Arbour and L’Heureux-Dubé </w:t>
      </w:r>
      <w:r w:rsidR="00704754">
        <w:t>hel</w:t>
      </w:r>
      <w:r w:rsidR="0018220E">
        <w:t xml:space="preserve">d </w:t>
      </w:r>
      <w:r w:rsidR="009747FD">
        <w:t xml:space="preserve">not only that section 7 provided a </w:t>
      </w:r>
      <w:r w:rsidR="00903136">
        <w:t xml:space="preserve">sound doctrinal </w:t>
      </w:r>
      <w:r w:rsidR="009747FD">
        <w:t xml:space="preserve">basis for Louise Gosselin’s claim, but </w:t>
      </w:r>
      <w:r w:rsidR="0018220E">
        <w:t xml:space="preserve">that the </w:t>
      </w:r>
      <w:r w:rsidR="00903136">
        <w:t xml:space="preserve">reduced </w:t>
      </w:r>
      <w:r w:rsidR="0018220E">
        <w:t xml:space="preserve">benefits </w:t>
      </w:r>
      <w:r w:rsidR="00850C9D">
        <w:t xml:space="preserve">for </w:t>
      </w:r>
      <w:r w:rsidR="00E90649">
        <w:t xml:space="preserve">those under-30 </w:t>
      </w:r>
      <w:r w:rsidR="009747FD">
        <w:t>violated</w:t>
      </w:r>
      <w:r w:rsidR="00903136">
        <w:t xml:space="preserve"> their </w:t>
      </w:r>
      <w:r w:rsidR="00666055" w:rsidRPr="00666055">
        <w:rPr>
          <w:i/>
        </w:rPr>
        <w:t>Charter</w:t>
      </w:r>
      <w:r w:rsidR="00666055">
        <w:t xml:space="preserve"> </w:t>
      </w:r>
      <w:r w:rsidR="00903136">
        <w:t>right</w:t>
      </w:r>
      <w:r w:rsidR="00704754">
        <w:t>s</w:t>
      </w:r>
      <w:r w:rsidR="00903136">
        <w:t xml:space="preserve"> to security of the person</w:t>
      </w:r>
      <w:r w:rsidR="00BC59E5">
        <w:t xml:space="preserve">.  Chief Justice McLachlin ruled </w:t>
      </w:r>
      <w:r w:rsidR="00543615">
        <w:t xml:space="preserve">that </w:t>
      </w:r>
      <w:r w:rsidR="00901A94">
        <w:t xml:space="preserve">the </w:t>
      </w:r>
      <w:r w:rsidR="00BC59E5">
        <w:t xml:space="preserve">circumstances in which </w:t>
      </w:r>
      <w:r w:rsidR="00903136">
        <w:t xml:space="preserve">section 7 </w:t>
      </w:r>
      <w:r w:rsidR="00BC59E5">
        <w:t xml:space="preserve">would </w:t>
      </w:r>
      <w:r w:rsidR="00D54FFE">
        <w:t>be applied as the basis for a</w:t>
      </w:r>
      <w:r w:rsidR="00F27DB2">
        <w:t xml:space="preserve">n affirmative </w:t>
      </w:r>
      <w:r w:rsidR="00D54FFE">
        <w:t>government obligation</w:t>
      </w:r>
      <w:r w:rsidR="000F3DDD">
        <w:t xml:space="preserve"> </w:t>
      </w:r>
      <w:r w:rsidR="0018220E">
        <w:t xml:space="preserve">to guarantee adequate living standards </w:t>
      </w:r>
      <w:r w:rsidR="00543615">
        <w:t xml:space="preserve">remained </w:t>
      </w:r>
      <w:r w:rsidR="000F3DDD">
        <w:t xml:space="preserve">to be </w:t>
      </w:r>
      <w:r w:rsidR="0018220E">
        <w:t>decid</w:t>
      </w:r>
      <w:r w:rsidR="000F3DDD">
        <w:t xml:space="preserve">ed in a future case.  </w:t>
      </w:r>
      <w:r w:rsidR="002D3EED">
        <w:t>T</w:t>
      </w:r>
      <w:r w:rsidR="00903136">
        <w:t xml:space="preserve">his </w:t>
      </w:r>
      <w:r w:rsidR="00AC6588">
        <w:t xml:space="preserve">aspect of the </w:t>
      </w:r>
      <w:r w:rsidR="00AC6588" w:rsidRPr="00FE7E7F">
        <w:rPr>
          <w:i/>
        </w:rPr>
        <w:t>Gosselin</w:t>
      </w:r>
      <w:r w:rsidR="00AC6588">
        <w:t xml:space="preserve"> decision</w:t>
      </w:r>
      <w:r w:rsidR="00DF5DCE">
        <w:t xml:space="preserve"> </w:t>
      </w:r>
      <w:r w:rsidR="002D3EED">
        <w:t xml:space="preserve">represented </w:t>
      </w:r>
      <w:r w:rsidR="00D05E3E">
        <w:t xml:space="preserve">a </w:t>
      </w:r>
      <w:r w:rsidR="00934912">
        <w:t xml:space="preserve">step forward </w:t>
      </w:r>
      <w:r w:rsidR="002D3EED">
        <w:t xml:space="preserve">for the </w:t>
      </w:r>
      <w:r w:rsidR="002D3EED" w:rsidRPr="002D3EED">
        <w:rPr>
          <w:i/>
        </w:rPr>
        <w:t>Charter</w:t>
      </w:r>
      <w:r w:rsidR="002D3EED">
        <w:t xml:space="preserve"> rights of people living in poverty.</w:t>
      </w:r>
    </w:p>
    <w:p w:rsidR="00E43C12" w:rsidRDefault="00E43C12" w:rsidP="00E43C12">
      <w:pPr>
        <w:spacing w:line="480" w:lineRule="auto"/>
      </w:pPr>
    </w:p>
    <w:p w:rsidR="00346148" w:rsidRPr="001C7421" w:rsidRDefault="00346148" w:rsidP="001C7421">
      <w:pPr>
        <w:pStyle w:val="Paragraphedeliste"/>
        <w:numPr>
          <w:ilvl w:val="0"/>
          <w:numId w:val="11"/>
        </w:numPr>
        <w:spacing w:line="480" w:lineRule="auto"/>
        <w:rPr>
          <w:b/>
        </w:rPr>
      </w:pPr>
      <w:r w:rsidRPr="001C7421">
        <w:rPr>
          <w:b/>
        </w:rPr>
        <w:t>T</w:t>
      </w:r>
      <w:r w:rsidR="002109D5">
        <w:rPr>
          <w:b/>
        </w:rPr>
        <w:t>WO STEPS BACK</w:t>
      </w:r>
      <w:r w:rsidR="001C7421">
        <w:rPr>
          <w:b/>
        </w:rPr>
        <w:t xml:space="preserve">: THE COURT’S APPROACH TO LOUISE GOSSELIN’S </w:t>
      </w:r>
      <w:r w:rsidR="002109D5">
        <w:rPr>
          <w:b/>
        </w:rPr>
        <w:t xml:space="preserve">SECTION 7 </w:t>
      </w:r>
      <w:r w:rsidR="001C7421">
        <w:rPr>
          <w:b/>
        </w:rPr>
        <w:t>CLAIM</w:t>
      </w:r>
    </w:p>
    <w:p w:rsidR="00CB0F1A" w:rsidRDefault="00E13677" w:rsidP="00CB0F1A">
      <w:pPr>
        <w:spacing w:line="480" w:lineRule="auto"/>
        <w:ind w:firstLine="360"/>
      </w:pPr>
      <w:bookmarkStart w:id="11" w:name="_Hlk504658417"/>
      <w:r>
        <w:t>T</w:t>
      </w:r>
      <w:r w:rsidR="00543615">
        <w:t xml:space="preserve">he </w:t>
      </w:r>
      <w:r w:rsidR="00F754C9">
        <w:t xml:space="preserve">Supreme </w:t>
      </w:r>
      <w:r w:rsidR="00543615">
        <w:t xml:space="preserve">Court’s rejection of the narrow reading of section 7 that prevailed </w:t>
      </w:r>
      <w:r w:rsidR="00C7338C">
        <w:t xml:space="preserve">in </w:t>
      </w:r>
      <w:r w:rsidR="00AF5560">
        <w:t>Peter Hogg</w:t>
      </w:r>
      <w:r w:rsidR="00C71043">
        <w:t xml:space="preserve">’s </w:t>
      </w:r>
      <w:r w:rsidR="00AF5560">
        <w:t>and other</w:t>
      </w:r>
      <w:r w:rsidR="00C71043">
        <w:t xml:space="preserve"> scholarly commentary</w:t>
      </w:r>
      <w:r w:rsidR="00AF5560">
        <w:t>,</w:t>
      </w:r>
      <w:r w:rsidR="00C7338C" w:rsidRPr="00D038A6">
        <w:rPr>
          <w:vertAlign w:val="superscript"/>
        </w:rPr>
        <w:footnoteReference w:id="124"/>
      </w:r>
      <w:r w:rsidR="00AF5560">
        <w:t xml:space="preserve"> in government </w:t>
      </w:r>
      <w:r w:rsidR="009747FD">
        <w:t>submission</w:t>
      </w:r>
      <w:r w:rsidR="009B5BD6">
        <w:t>s</w:t>
      </w:r>
      <w:r w:rsidR="00AF5560">
        <w:t xml:space="preserve">, and in Canadian lower </w:t>
      </w:r>
      <w:r w:rsidR="00E866E3">
        <w:t xml:space="preserve">court </w:t>
      </w:r>
      <w:r w:rsidR="00AF5560">
        <w:t xml:space="preserve">jurisprudence </w:t>
      </w:r>
      <w:r>
        <w:t>up to that point</w:t>
      </w:r>
      <w:r w:rsidR="00F754C9">
        <w:t>,</w:t>
      </w:r>
      <w:r>
        <w:t xml:space="preserve"> was </w:t>
      </w:r>
      <w:r w:rsidR="00934912">
        <w:t xml:space="preserve">a positive development </w:t>
      </w:r>
      <w:r w:rsidR="00E43C12">
        <w:t xml:space="preserve">for the advancement of </w:t>
      </w:r>
      <w:r w:rsidR="003963A2">
        <w:t xml:space="preserve">poor people’s </w:t>
      </w:r>
      <w:r w:rsidR="003963A2" w:rsidRPr="003963A2">
        <w:rPr>
          <w:i/>
        </w:rPr>
        <w:t>Charter</w:t>
      </w:r>
      <w:r w:rsidR="003963A2">
        <w:t xml:space="preserve"> rights</w:t>
      </w:r>
      <w:r>
        <w:t xml:space="preserve">.  </w:t>
      </w:r>
      <w:bookmarkEnd w:id="11"/>
      <w:r w:rsidR="00236C0F">
        <w:t>As outlined below,</w:t>
      </w:r>
      <w:r>
        <w:t xml:space="preserve"> </w:t>
      </w:r>
      <w:r w:rsidR="00236C0F">
        <w:t xml:space="preserve">however, </w:t>
      </w:r>
      <w:r w:rsidR="00AF5560">
        <w:t xml:space="preserve">the </w:t>
      </w:r>
      <w:r w:rsidR="009C0712">
        <w:t xml:space="preserve">majority’s </w:t>
      </w:r>
      <w:r w:rsidR="00236C0F">
        <w:t>uncritical and stereotype</w:t>
      </w:r>
      <w:r w:rsidR="00BE7298">
        <w:t>-</w:t>
      </w:r>
      <w:r w:rsidR="00E912B3">
        <w:t xml:space="preserve">infused </w:t>
      </w:r>
      <w:r w:rsidR="00236C0F">
        <w:t>a</w:t>
      </w:r>
      <w:r w:rsidR="00AF5560">
        <w:t>pproach</w:t>
      </w:r>
      <w:r w:rsidR="009C0712">
        <w:t xml:space="preserve"> to</w:t>
      </w:r>
      <w:r w:rsidR="00AF5560">
        <w:t xml:space="preserve"> the evidence</w:t>
      </w:r>
      <w:r w:rsidR="005F6669">
        <w:t>,</w:t>
      </w:r>
      <w:r w:rsidR="00AF5560">
        <w:t xml:space="preserve"> and </w:t>
      </w:r>
      <w:r w:rsidR="00236C0F" w:rsidRPr="00236C0F">
        <w:t xml:space="preserve">the </w:t>
      </w:r>
      <w:r w:rsidR="003963A2">
        <w:t>way</w:t>
      </w:r>
      <w:r w:rsidR="00236C0F" w:rsidRPr="00236C0F">
        <w:t xml:space="preserve"> in which </w:t>
      </w:r>
      <w:r w:rsidR="004D4B40">
        <w:t>the majority of the Court</w:t>
      </w:r>
      <w:r w:rsidR="00F754C9">
        <w:t xml:space="preserve"> </w:t>
      </w:r>
      <w:r w:rsidR="003963A2">
        <w:t>re</w:t>
      </w:r>
      <w:r w:rsidR="00236C0F" w:rsidRPr="00236C0F">
        <w:t xml:space="preserve">framed </w:t>
      </w:r>
      <w:r w:rsidR="00F754C9">
        <w:t xml:space="preserve">and then dismissed </w:t>
      </w:r>
      <w:r w:rsidR="00236C0F" w:rsidRPr="00236C0F">
        <w:t xml:space="preserve">Louise Gosselin’s </w:t>
      </w:r>
      <w:r w:rsidR="003963A2">
        <w:t xml:space="preserve">section 7 </w:t>
      </w:r>
      <w:r w:rsidR="00236C0F" w:rsidRPr="00236C0F">
        <w:t>claim</w:t>
      </w:r>
      <w:r w:rsidR="005F6669">
        <w:t>,</w:t>
      </w:r>
      <w:r w:rsidR="00236C0F" w:rsidRPr="00236C0F">
        <w:t xml:space="preserve"> </w:t>
      </w:r>
      <w:r w:rsidR="00E43C12">
        <w:t xml:space="preserve">were </w:t>
      </w:r>
      <w:r w:rsidR="00F754C9">
        <w:t>equally significant set-back</w:t>
      </w:r>
      <w:r w:rsidR="00E43C12">
        <w:t>s</w:t>
      </w:r>
      <w:r w:rsidR="00F754C9">
        <w:t xml:space="preserve"> for</w:t>
      </w:r>
      <w:r w:rsidR="003963A2">
        <w:t xml:space="preserve"> the constitutional inclusion of people living in poverty</w:t>
      </w:r>
      <w:r w:rsidR="00F754C9">
        <w:t>.</w:t>
      </w:r>
    </w:p>
    <w:p w:rsidR="00543615" w:rsidRPr="00543615" w:rsidRDefault="00543615" w:rsidP="00345F3B">
      <w:pPr>
        <w:pStyle w:val="Paragraphedeliste"/>
        <w:spacing w:line="480" w:lineRule="auto"/>
        <w:ind w:left="360"/>
      </w:pPr>
    </w:p>
    <w:p w:rsidR="00345F3B" w:rsidRPr="00855485" w:rsidRDefault="00666055" w:rsidP="00855485">
      <w:pPr>
        <w:pStyle w:val="Paragraphedeliste"/>
        <w:numPr>
          <w:ilvl w:val="0"/>
          <w:numId w:val="15"/>
        </w:numPr>
        <w:spacing w:line="480" w:lineRule="auto"/>
        <w:rPr>
          <w:b/>
        </w:rPr>
      </w:pPr>
      <w:r>
        <w:rPr>
          <w:b/>
        </w:rPr>
        <w:t xml:space="preserve">The Court’s Approach to the </w:t>
      </w:r>
      <w:r w:rsidR="00855485">
        <w:rPr>
          <w:b/>
        </w:rPr>
        <w:t>E</w:t>
      </w:r>
      <w:r w:rsidR="00345F3B" w:rsidRPr="00855485">
        <w:rPr>
          <w:b/>
        </w:rPr>
        <w:t>vidence</w:t>
      </w:r>
    </w:p>
    <w:p w:rsidR="00044193" w:rsidRDefault="004143AD" w:rsidP="00346148">
      <w:pPr>
        <w:spacing w:line="480" w:lineRule="auto"/>
        <w:ind w:firstLine="360"/>
        <w:rPr>
          <w:lang w:val="fr-CA"/>
        </w:rPr>
      </w:pPr>
      <w:r>
        <w:t>At trial Justice Reeves concluded there was insufficient evidence to</w:t>
      </w:r>
      <w:r w:rsidR="005F6669">
        <w:t xml:space="preserve"> support Louise Gosselin’s </w:t>
      </w:r>
      <w:r w:rsidR="005F6669" w:rsidRPr="005F6669">
        <w:rPr>
          <w:i/>
        </w:rPr>
        <w:t>Charter</w:t>
      </w:r>
      <w:r w:rsidR="005F6669">
        <w:t xml:space="preserve"> challenge</w:t>
      </w:r>
      <w:r>
        <w:t xml:space="preserve">.  He characterized the expert evidence </w:t>
      </w:r>
      <w:r w:rsidR="004D4B40">
        <w:t xml:space="preserve">she adduced </w:t>
      </w:r>
      <w:r>
        <w:t xml:space="preserve">as hearsay and he found that </w:t>
      </w:r>
      <w:r w:rsidR="007A32E3">
        <w:t xml:space="preserve">her </w:t>
      </w:r>
      <w:r w:rsidR="004D4B40">
        <w:t xml:space="preserve">personal </w:t>
      </w:r>
      <w:r w:rsidR="007E077B">
        <w:t xml:space="preserve">testimony </w:t>
      </w:r>
      <w:r>
        <w:t xml:space="preserve">was insufficient to support </w:t>
      </w:r>
      <w:r w:rsidR="00C425BF">
        <w:t xml:space="preserve">her </w:t>
      </w:r>
      <w:r>
        <w:t xml:space="preserve">claim on behalf of all other young </w:t>
      </w:r>
      <w:r w:rsidR="00BE7298">
        <w:t xml:space="preserve">welfare </w:t>
      </w:r>
      <w:r>
        <w:t xml:space="preserve">recipients adversely affected by the </w:t>
      </w:r>
      <w:r w:rsidRPr="00044193">
        <w:rPr>
          <w:i/>
        </w:rPr>
        <w:t>Regulation</w:t>
      </w:r>
      <w:r>
        <w:t>.</w:t>
      </w:r>
      <w:r w:rsidR="001D037D">
        <w:t xml:space="preserve">  </w:t>
      </w:r>
      <w:r w:rsidR="00044193" w:rsidRPr="00044193">
        <w:rPr>
          <w:lang w:val="fr-CA"/>
        </w:rPr>
        <w:t xml:space="preserve">In his view: </w:t>
      </w:r>
    </w:p>
    <w:p w:rsidR="00044193" w:rsidRDefault="00044193" w:rsidP="00044193">
      <w:pPr>
        <w:spacing w:line="240" w:lineRule="auto"/>
        <w:ind w:left="567" w:right="567"/>
        <w:rPr>
          <w:lang w:val="fr-CA"/>
        </w:rPr>
      </w:pPr>
      <w:r w:rsidRPr="00A94F9E">
        <w:rPr>
          <w:lang w:val="fr-CA"/>
        </w:rPr>
        <w:t xml:space="preserve">On ne peut </w:t>
      </w:r>
      <w:r>
        <w:rPr>
          <w:lang w:val="fr-CA"/>
        </w:rPr>
        <w:t>considé</w:t>
      </w:r>
      <w:r w:rsidRPr="00A94F9E">
        <w:rPr>
          <w:lang w:val="fr-CA"/>
        </w:rPr>
        <w:t xml:space="preserve">rer comme vrais les faits sur lesquels les experts ont fondé leurs conclusions et formulé leurs généralisations. </w:t>
      </w:r>
      <w:r>
        <w:rPr>
          <w:lang w:val="fr-CA"/>
        </w:rPr>
        <w:t xml:space="preserve"> Il est donc fort douteux que la demanderesses représentante, agissant pour le compte de quelque 75 000 individus, ait déchargé le fardeau de la preuve quant à savoir si l’application de la loi a produit à leur égard des effets défavorables.</w:t>
      </w:r>
      <w:r w:rsidRPr="005104BC">
        <w:rPr>
          <w:vertAlign w:val="superscript"/>
        </w:rPr>
        <w:footnoteReference w:id="125"/>
      </w:r>
      <w:r w:rsidRPr="00044193">
        <w:rPr>
          <w:lang w:val="fr-CA"/>
        </w:rPr>
        <w:t xml:space="preserve">  </w:t>
      </w:r>
    </w:p>
    <w:p w:rsidR="00044193" w:rsidRDefault="00044193" w:rsidP="00044193">
      <w:pPr>
        <w:spacing w:line="240" w:lineRule="auto"/>
        <w:ind w:left="567" w:right="567"/>
        <w:rPr>
          <w:lang w:val="fr-CA"/>
        </w:rPr>
      </w:pPr>
    </w:p>
    <w:p w:rsidR="006514D7" w:rsidRDefault="007E077B" w:rsidP="008E6C5F">
      <w:pPr>
        <w:spacing w:line="480" w:lineRule="auto"/>
      </w:pPr>
      <w:r>
        <w:t>At the same time, Justice Reeve</w:t>
      </w:r>
      <w:r w:rsidR="001D037D">
        <w:t>s</w:t>
      </w:r>
      <w:r w:rsidRPr="007E077B">
        <w:t>’</w:t>
      </w:r>
      <w:r w:rsidR="001D037D">
        <w:t xml:space="preserve"> appraisal of </w:t>
      </w:r>
      <w:r w:rsidR="004D4B40">
        <w:t xml:space="preserve">Louise Gosselin’s </w:t>
      </w:r>
      <w:r w:rsidR="001D037D">
        <w:t xml:space="preserve">evidence and substantive </w:t>
      </w:r>
      <w:r w:rsidR="00704754">
        <w:t>argument</w:t>
      </w:r>
      <w:r w:rsidR="001D037D">
        <w:t xml:space="preserve"> was rife with prejudicial stereotypes about </w:t>
      </w:r>
      <w:r w:rsidR="00044193">
        <w:t>the nature and causes of poverty and about people living in poverty as individuals and as a group</w:t>
      </w:r>
      <w:r w:rsidR="001D037D">
        <w:t>.</w:t>
      </w:r>
      <w:r w:rsidR="00B01236">
        <w:t xml:space="preserve">  </w:t>
      </w:r>
    </w:p>
    <w:p w:rsidR="00C5748E" w:rsidRPr="006514D7" w:rsidRDefault="00B01236" w:rsidP="006514D7">
      <w:pPr>
        <w:spacing w:line="480" w:lineRule="auto"/>
        <w:ind w:firstLine="567"/>
      </w:pPr>
      <w:r>
        <w:t>In particular</w:t>
      </w:r>
      <w:r w:rsidR="009A5FBF">
        <w:t xml:space="preserve">, Justice Reeves </w:t>
      </w:r>
      <w:r w:rsidR="006514D7">
        <w:t>maintain</w:t>
      </w:r>
      <w:r w:rsidR="009A5FBF">
        <w:t xml:space="preserve">ed that while poverty could in some cases be attributed to external </w:t>
      </w:r>
      <w:r w:rsidR="002D4E9C">
        <w:t xml:space="preserve">factors </w:t>
      </w:r>
      <w:r w:rsidR="009A5FBF">
        <w:t>beyond individual control, most poverty was the r</w:t>
      </w:r>
      <w:r w:rsidR="00657627">
        <w:t xml:space="preserve">esult of </w:t>
      </w:r>
      <w:r w:rsidR="007E077B">
        <w:t>“</w:t>
      </w:r>
      <w:r w:rsidR="00CF3F68">
        <w:t>intrinsic</w:t>
      </w:r>
      <w:r w:rsidR="007E077B">
        <w:t>”</w:t>
      </w:r>
      <w:r w:rsidR="00CF3F68">
        <w:t xml:space="preserve"> </w:t>
      </w:r>
      <w:r w:rsidR="00657627">
        <w:t>characteristic</w:t>
      </w:r>
      <w:r w:rsidR="002D4E9C">
        <w:t>s</w:t>
      </w:r>
      <w:r w:rsidR="00657627">
        <w:t xml:space="preserve"> of the poor</w:t>
      </w:r>
      <w:r w:rsidR="009A5FBF">
        <w:t>.</w:t>
      </w:r>
      <w:r w:rsidR="00657627" w:rsidRPr="005104BC">
        <w:rPr>
          <w:vertAlign w:val="superscript"/>
        </w:rPr>
        <w:footnoteReference w:id="126"/>
      </w:r>
      <w:r w:rsidR="009A5FBF">
        <w:t xml:space="preserve">  </w:t>
      </w:r>
      <w:r w:rsidR="009A5FBF" w:rsidRPr="008E6C5F">
        <w:rPr>
          <w:lang w:val="fr-CA"/>
        </w:rPr>
        <w:t>Justice Reeves explained:</w:t>
      </w:r>
      <w:r w:rsidR="008E6C5F">
        <w:rPr>
          <w:lang w:val="fr-CA"/>
        </w:rPr>
        <w:t xml:space="preserve"> </w:t>
      </w:r>
      <w:r w:rsidR="008E6C5F" w:rsidRPr="008E6C5F">
        <w:rPr>
          <w:lang w:val="fr-CA"/>
        </w:rPr>
        <w:t>“Les études démontrent que la majorité des pauvres le sont pour des raisons intrin</w:t>
      </w:r>
      <w:r w:rsidR="008E6C5F">
        <w:rPr>
          <w:lang w:val="fr-CA"/>
        </w:rPr>
        <w:t>sèques.  Il s’agit de personnes sous-scolarisées ou psychologiquement vulnérables, ou chez qui l’éthique du travail n’est guère favorisée.</w:t>
      </w:r>
      <w:r w:rsidR="008E6C5F" w:rsidRPr="00044193">
        <w:rPr>
          <w:lang w:val="fr-CA"/>
        </w:rPr>
        <w:t>”</w:t>
      </w:r>
      <w:r w:rsidR="008E6C5F" w:rsidRPr="005104BC">
        <w:rPr>
          <w:vertAlign w:val="superscript"/>
        </w:rPr>
        <w:footnoteReference w:id="127"/>
      </w:r>
      <w:r w:rsidR="008E6C5F">
        <w:rPr>
          <w:lang w:val="fr-CA"/>
        </w:rPr>
        <w:t xml:space="preserve">  </w:t>
      </w:r>
      <w:r w:rsidR="002D4E9C">
        <w:rPr>
          <w:lang w:val="fr-CA"/>
        </w:rPr>
        <w:t xml:space="preserve">He argued further : </w:t>
      </w:r>
      <w:r w:rsidR="006514D7" w:rsidRPr="008E6C5F">
        <w:rPr>
          <w:lang w:val="fr-CA"/>
        </w:rPr>
        <w:t>“</w:t>
      </w:r>
      <w:r w:rsidR="002D4E9C">
        <w:rPr>
          <w:lang w:val="fr-CA"/>
        </w:rPr>
        <w:t>En effet, il est constant que l’être humain qui a développé les qualités de force, courage, persévérance et discipline surmonte et maîtrise généralement les obstacles éducatifs, psychiques et même physiques qui pourraient l’entraîner dans la pauvreté matérielle.</w:t>
      </w:r>
      <w:r w:rsidR="006514D7" w:rsidRPr="00044193">
        <w:rPr>
          <w:lang w:val="fr-CA"/>
        </w:rPr>
        <w:t>”</w:t>
      </w:r>
      <w:r w:rsidR="006514D7" w:rsidRPr="005104BC">
        <w:rPr>
          <w:vertAlign w:val="superscript"/>
        </w:rPr>
        <w:footnoteReference w:id="128"/>
      </w:r>
      <w:r w:rsidR="006514D7" w:rsidRPr="006514D7">
        <w:rPr>
          <w:lang w:val="fr-CA"/>
        </w:rPr>
        <w:t xml:space="preserve">  </w:t>
      </w:r>
      <w:r w:rsidR="008E6C5F" w:rsidRPr="005F170E">
        <w:t>As</w:t>
      </w:r>
      <w:r w:rsidR="0053564E">
        <w:t xml:space="preserve"> an</w:t>
      </w:r>
      <w:r w:rsidR="007A32E3">
        <w:t xml:space="preserve"> illustration</w:t>
      </w:r>
      <w:r w:rsidR="008E6C5F" w:rsidRPr="005F170E">
        <w:t>, Justice Reeves pointed to the high incidence of respiratory illness</w:t>
      </w:r>
      <w:r w:rsidR="005F170E">
        <w:t>es</w:t>
      </w:r>
      <w:r w:rsidR="008E6C5F" w:rsidRPr="005F170E">
        <w:t xml:space="preserve"> among</w:t>
      </w:r>
      <w:r w:rsidR="00934912">
        <w:t xml:space="preserve"> people living in poverty</w:t>
      </w:r>
      <w:r w:rsidR="007E077B">
        <w:t>,</w:t>
      </w:r>
      <w:r w:rsidR="005F170E">
        <w:t xml:space="preserve"> coupled with </w:t>
      </w:r>
      <w:r w:rsidR="005F170E" w:rsidRPr="005F170E">
        <w:t xml:space="preserve">the fact </w:t>
      </w:r>
      <w:r w:rsidR="008E6C5F" w:rsidRPr="005F170E">
        <w:t>th</w:t>
      </w:r>
      <w:r w:rsidR="007E077B">
        <w:t xml:space="preserve">at </w:t>
      </w:r>
      <w:r w:rsidR="00BE7298">
        <w:t xml:space="preserve">the </w:t>
      </w:r>
      <w:r w:rsidR="005F170E" w:rsidRPr="005F170E">
        <w:t xml:space="preserve">most </w:t>
      </w:r>
      <w:r w:rsidR="007E077B">
        <w:t xml:space="preserve">economically </w:t>
      </w:r>
      <w:r w:rsidR="005F170E" w:rsidRPr="005F170E">
        <w:t>di</w:t>
      </w:r>
      <w:r w:rsidR="005F170E">
        <w:t>sadvantaged were twice as likely to smoke</w:t>
      </w:r>
      <w:r w:rsidR="008E6C5F">
        <w:t>, notwithstanding the high cost of cigarettes</w:t>
      </w:r>
      <w:r w:rsidR="00C5748E">
        <w:t>.</w:t>
      </w:r>
      <w:r w:rsidR="00657627" w:rsidRPr="005104BC">
        <w:rPr>
          <w:vertAlign w:val="superscript"/>
        </w:rPr>
        <w:footnoteReference w:id="129"/>
      </w:r>
      <w:r w:rsidR="00C5748E">
        <w:t xml:space="preserve">  </w:t>
      </w:r>
      <w:r w:rsidR="00C5748E" w:rsidRPr="00C5748E">
        <w:t xml:space="preserve">This, </w:t>
      </w:r>
      <w:r w:rsidR="00B412FD">
        <w:t>he asserted</w:t>
      </w:r>
      <w:r w:rsidR="00C5748E" w:rsidRPr="00C5748E">
        <w:t xml:space="preserve">, </w:t>
      </w:r>
      <w:r w:rsidR="00C5748E">
        <w:t>demonstrat</w:t>
      </w:r>
      <w:r w:rsidR="00C5748E" w:rsidRPr="00C5748E">
        <w:t xml:space="preserve">ed </w:t>
      </w:r>
      <w:r w:rsidR="007E077B">
        <w:t xml:space="preserve">that </w:t>
      </w:r>
      <w:r w:rsidR="00B412FD">
        <w:t>any financial</w:t>
      </w:r>
      <w:r w:rsidR="00C5748E">
        <w:t xml:space="preserve"> assistance</w:t>
      </w:r>
      <w:r w:rsidR="00657627">
        <w:t xml:space="preserve"> </w:t>
      </w:r>
      <w:r w:rsidR="00B412FD">
        <w:t xml:space="preserve">provided to the poor, including to young welfare recipients, had to </w:t>
      </w:r>
      <w:r w:rsidR="00657627">
        <w:t>be conditional</w:t>
      </w:r>
      <w:r w:rsidR="005F170E" w:rsidRPr="00C5748E">
        <w:t xml:space="preserve">: </w:t>
      </w:r>
    </w:p>
    <w:p w:rsidR="00C5748E" w:rsidRDefault="005F170E" w:rsidP="00704754">
      <w:pPr>
        <w:spacing w:line="240" w:lineRule="auto"/>
        <w:ind w:left="567" w:right="567"/>
        <w:rPr>
          <w:lang w:val="fr-CA"/>
        </w:rPr>
      </w:pPr>
      <w:r w:rsidRPr="00C5748E">
        <w:rPr>
          <w:lang w:val="fr-CA"/>
        </w:rPr>
        <w:t xml:space="preserve">Pourquoi le pauvre affecte-t-il une part importante de son maigre budget au tabac (et à l’alcool)? </w:t>
      </w:r>
      <w:r>
        <w:rPr>
          <w:lang w:val="fr-CA"/>
        </w:rPr>
        <w:t>Il s’agit évidemment d</w:t>
      </w:r>
      <w:r w:rsidR="00C5748E">
        <w:rPr>
          <w:lang w:val="fr-CA"/>
        </w:rPr>
        <w:t>’u</w:t>
      </w:r>
      <w:r>
        <w:rPr>
          <w:lang w:val="fr-CA"/>
        </w:rPr>
        <w:t>sage de drogues bénignes qui soulagent sa détresse psychologique.</w:t>
      </w:r>
      <w:r w:rsidR="00C5748E">
        <w:rPr>
          <w:lang w:val="fr-CA"/>
        </w:rPr>
        <w:t xml:space="preserve">  La conclusion s’impose : l’assistance pécuniaire doit s’accompagner d’éducation et d’encouragement à délaisses les habitudes coûteuses et nocives. C’est la philosophie qui inspire les programmes offerts aux 18 à 30 ans qui désirent obtenir la parité.</w:t>
      </w:r>
      <w:r w:rsidR="00657627" w:rsidRPr="005104BC">
        <w:rPr>
          <w:vertAlign w:val="superscript"/>
        </w:rPr>
        <w:footnoteReference w:id="130"/>
      </w:r>
    </w:p>
    <w:p w:rsidR="00704754" w:rsidRDefault="00704754" w:rsidP="00704754">
      <w:pPr>
        <w:spacing w:line="240" w:lineRule="auto"/>
        <w:ind w:left="567" w:right="567"/>
        <w:rPr>
          <w:lang w:val="fr-CA"/>
        </w:rPr>
      </w:pPr>
    </w:p>
    <w:p w:rsidR="008E567D" w:rsidRDefault="005F6669" w:rsidP="00E13297">
      <w:pPr>
        <w:spacing w:line="480" w:lineRule="auto"/>
        <w:ind w:firstLine="360"/>
      </w:pPr>
      <w:r>
        <w:t>Instead of censuring Justice Reeves’</w:t>
      </w:r>
      <w:r w:rsidR="00421867">
        <w:t xml:space="preserve"> reliance on </w:t>
      </w:r>
      <w:r w:rsidR="00F1458F">
        <w:t xml:space="preserve">these </w:t>
      </w:r>
      <w:r w:rsidR="00D61D2D">
        <w:t>discriminatory</w:t>
      </w:r>
      <w:r w:rsidR="00700075">
        <w:t xml:space="preserve"> </w:t>
      </w:r>
      <w:r w:rsidR="00421867">
        <w:t>stereotype</w:t>
      </w:r>
      <w:r w:rsidR="00700075">
        <w:t>s</w:t>
      </w:r>
      <w:r w:rsidR="00D61D2D">
        <w:t xml:space="preserve">, </w:t>
      </w:r>
      <w:r w:rsidR="00421867">
        <w:t xml:space="preserve">Chief Justice McLachlin </w:t>
      </w:r>
      <w:r w:rsidR="0053564E">
        <w:t xml:space="preserve">expressed </w:t>
      </w:r>
      <w:r w:rsidR="007A34B5">
        <w:t xml:space="preserve">full agreement with </w:t>
      </w:r>
      <w:r>
        <w:t xml:space="preserve">his </w:t>
      </w:r>
      <w:r w:rsidR="00377414">
        <w:t>ruling on the insufficiency of Louise Gosselin’s evidence</w:t>
      </w:r>
      <w:r w:rsidR="007A34B5">
        <w:t xml:space="preserve">.  </w:t>
      </w:r>
      <w:r w:rsidR="00421867">
        <w:t>In her words</w:t>
      </w:r>
      <w:r w:rsidR="007A34B5">
        <w:t>: “the trial judge, after a lengthy trial and careful scrutiny of the record, found that Ms. Gosselin had failed to establish actual adverse effect</w:t>
      </w:r>
      <w:r w:rsidR="00421867">
        <w:t xml:space="preserve"> … I can find no basis upon which this Court can set aside this finding</w:t>
      </w:r>
      <w:r w:rsidR="007A34B5">
        <w:t>”</w:t>
      </w:r>
      <w:r w:rsidR="00AB32E9" w:rsidRPr="00F177F1">
        <w:rPr>
          <w:vertAlign w:val="superscript"/>
        </w:rPr>
        <w:footnoteReference w:id="131"/>
      </w:r>
      <w:r w:rsidR="00AB32E9">
        <w:t xml:space="preserve"> </w:t>
      </w:r>
      <w:r w:rsidR="00377414">
        <w:t xml:space="preserve"> </w:t>
      </w:r>
      <w:r w:rsidR="0053564E">
        <w:t>With regard to Louise Gosselin’s section 7 claim</w:t>
      </w:r>
      <w:r w:rsidR="007E077B">
        <w:t xml:space="preserve"> in particular</w:t>
      </w:r>
      <w:r w:rsidR="0053564E">
        <w:t xml:space="preserve">, the Chief Justice </w:t>
      </w:r>
      <w:r w:rsidR="00E13297">
        <w:t>was</w:t>
      </w:r>
      <w:r w:rsidR="00B412FD">
        <w:t xml:space="preserve"> unequivocal</w:t>
      </w:r>
      <w:r w:rsidR="00D16506">
        <w:t xml:space="preserve">.   Making virtually no reference </w:t>
      </w:r>
      <w:r w:rsidR="00533150">
        <w:t xml:space="preserve">either </w:t>
      </w:r>
      <w:r w:rsidR="00D16506">
        <w:t>to the expert evidence</w:t>
      </w:r>
      <w:r w:rsidR="00704754">
        <w:t>,</w:t>
      </w:r>
      <w:r w:rsidR="00D16506">
        <w:t xml:space="preserve"> or </w:t>
      </w:r>
      <w:r w:rsidR="00704754">
        <w:t xml:space="preserve">to </w:t>
      </w:r>
      <w:r w:rsidR="00D16506">
        <w:t xml:space="preserve">Louise Gosselin’s own testimony about the multiple </w:t>
      </w:r>
      <w:r w:rsidR="00533150">
        <w:t xml:space="preserve">harms to the lives </w:t>
      </w:r>
      <w:r w:rsidR="00D16506">
        <w:t>and security of young welfare recipien</w:t>
      </w:r>
      <w:r w:rsidR="00533150">
        <w:t>ts</w:t>
      </w:r>
      <w:r w:rsidR="00704754">
        <w:t xml:space="preserve"> caused by the </w:t>
      </w:r>
      <w:r w:rsidR="00704754" w:rsidRPr="00533150">
        <w:rPr>
          <w:i/>
        </w:rPr>
        <w:t>Regulation</w:t>
      </w:r>
      <w:r w:rsidR="00533150">
        <w:t>, she conclud</w:t>
      </w:r>
      <w:r w:rsidR="00D16506">
        <w:t>ed</w:t>
      </w:r>
      <w:r w:rsidR="00391A99">
        <w:t>: “The frail platform provided by the facts of this case cannot support the weight of a positive state obligation of citizen support.”</w:t>
      </w:r>
      <w:r w:rsidR="00391A99" w:rsidRPr="005104BC">
        <w:rPr>
          <w:vertAlign w:val="superscript"/>
        </w:rPr>
        <w:footnoteReference w:id="132"/>
      </w:r>
    </w:p>
    <w:p w:rsidR="00F1458F" w:rsidRDefault="00377414" w:rsidP="008E567D">
      <w:pPr>
        <w:spacing w:line="480" w:lineRule="auto"/>
        <w:ind w:firstLine="360"/>
      </w:pPr>
      <w:r>
        <w:t xml:space="preserve">Conversely, </w:t>
      </w:r>
      <w:r w:rsidR="00E43EFB">
        <w:t xml:space="preserve">even in the absence of any </w:t>
      </w:r>
      <w:r w:rsidR="00F15AB8">
        <w:t xml:space="preserve">supporting </w:t>
      </w:r>
      <w:r w:rsidR="00E43EFB">
        <w:t xml:space="preserve">evidence, </w:t>
      </w:r>
      <w:r w:rsidR="00F1458F">
        <w:t xml:space="preserve">Chief Justice McLachlin </w:t>
      </w:r>
      <w:r w:rsidR="00272222">
        <w:t>was unqualified in her acceptance of</w:t>
      </w:r>
      <w:r w:rsidR="00BE7298">
        <w:t xml:space="preserve"> </w:t>
      </w:r>
      <w:r w:rsidR="00272222">
        <w:t>the government</w:t>
      </w:r>
      <w:r w:rsidR="007E077B">
        <w:t>’s</w:t>
      </w:r>
      <w:r w:rsidR="00F1458F">
        <w:t xml:space="preserve"> claims </w:t>
      </w:r>
      <w:r w:rsidR="00F1458F" w:rsidRPr="000D1D70">
        <w:t xml:space="preserve">in </w:t>
      </w:r>
      <w:r w:rsidR="00F15AB8">
        <w:t xml:space="preserve">defence </w:t>
      </w:r>
      <w:r w:rsidR="00F1458F" w:rsidRPr="000D1D70">
        <w:t xml:space="preserve">of the impugned </w:t>
      </w:r>
      <w:r w:rsidR="00F1458F" w:rsidRPr="000D1D70">
        <w:rPr>
          <w:i/>
        </w:rPr>
        <w:t>Regulation</w:t>
      </w:r>
      <w:r w:rsidR="007E077B">
        <w:t xml:space="preserve"> –</w:t>
      </w:r>
      <w:r w:rsidR="00C34D20">
        <w:t xml:space="preserve"> claims that reflected and perpetuated </w:t>
      </w:r>
      <w:r w:rsidR="004205B5">
        <w:t>equally prejudicial</w:t>
      </w:r>
      <w:r w:rsidR="00F1458F">
        <w:t xml:space="preserve"> stereotypes</w:t>
      </w:r>
      <w:r w:rsidR="00C34D20">
        <w:t xml:space="preserve"> about poverty and</w:t>
      </w:r>
      <w:r w:rsidR="00240F6D">
        <w:t xml:space="preserve"> </w:t>
      </w:r>
      <w:r w:rsidR="00F15AB8">
        <w:t>young welfare recipients</w:t>
      </w:r>
      <w:r w:rsidR="00F1458F">
        <w:t>.</w:t>
      </w:r>
      <w:r w:rsidR="00F1458F" w:rsidRPr="000D1D70">
        <w:t xml:space="preserve">  </w:t>
      </w:r>
      <w:r w:rsidR="00F1458F">
        <w:t>In particular, a</w:t>
      </w:r>
      <w:r w:rsidR="00F1458F" w:rsidRPr="000D1D70">
        <w:t xml:space="preserve">lthough the government failed to provide any concrete evidence of the </w:t>
      </w:r>
      <w:r w:rsidR="00704754" w:rsidRPr="00704754">
        <w:rPr>
          <w:i/>
        </w:rPr>
        <w:t>Regulation</w:t>
      </w:r>
      <w:r w:rsidR="00F1458F" w:rsidRPr="000D1D70">
        <w:t xml:space="preserve">’s benefits </w:t>
      </w:r>
      <w:r w:rsidR="00F15AB8">
        <w:t xml:space="preserve">or effectiveness in </w:t>
      </w:r>
      <w:r w:rsidR="00F1458F" w:rsidRPr="000D1D70">
        <w:t xml:space="preserve">promoting the integration of </w:t>
      </w:r>
      <w:r w:rsidR="00C34D20">
        <w:t xml:space="preserve">young </w:t>
      </w:r>
      <w:r w:rsidR="00240F6D">
        <w:t xml:space="preserve">welfare recipients </w:t>
      </w:r>
      <w:r w:rsidR="00F1458F" w:rsidRPr="000D1D70">
        <w:t>int</w:t>
      </w:r>
      <w:r w:rsidR="00240F6D">
        <w:t xml:space="preserve">o the workforce or </w:t>
      </w:r>
      <w:r w:rsidR="00F15AB8">
        <w:t xml:space="preserve">broader </w:t>
      </w:r>
      <w:r w:rsidR="00240F6D">
        <w:t>society</w:t>
      </w:r>
      <w:r w:rsidR="00F1458F" w:rsidRPr="000D1D70">
        <w:t>, the Chief Justice accepted that: “notwithstanding its possible short-term negative impact on the economic circumstances of some welfare recipients under 30 ... the thrust of the program was to improve the situation of people in this group, and to enhance their dignity and capacity for long-term self-reliance.”</w:t>
      </w:r>
      <w:r w:rsidR="00F1458F" w:rsidRPr="000D1D70">
        <w:rPr>
          <w:vertAlign w:val="superscript"/>
        </w:rPr>
        <w:footnoteReference w:id="133"/>
      </w:r>
      <w:r w:rsidR="00F1458F" w:rsidRPr="000D1D70">
        <w:t xml:space="preserve">  Chief J</w:t>
      </w:r>
      <w:r w:rsidR="00240F6D">
        <w:t>ustice McLachlin likewise approv</w:t>
      </w:r>
      <w:r w:rsidR="00F1458F" w:rsidRPr="000D1D70">
        <w:t>ed the province’s unsubstantiated claim that, left to their own devices,</w:t>
      </w:r>
      <w:r w:rsidR="00F1458F">
        <w:t xml:space="preserve"> </w:t>
      </w:r>
      <w:r w:rsidR="00F1458F" w:rsidRPr="000D1D70">
        <w:t>young people would develop long term dependence on government assistance</w:t>
      </w:r>
      <w:r w:rsidR="005F6669">
        <w:t>,</w:t>
      </w:r>
      <w:r w:rsidR="00F1458F" w:rsidRPr="000D1D70">
        <w:t xml:space="preserve"> and therefore had to be forced off welfare for their own good.  In her view: “Simply handing over a bigger welfare cheque would have done nothing to help welfare recipients under 30 escape from unemployment.”</w:t>
      </w:r>
      <w:r w:rsidR="00F1458F" w:rsidRPr="000D1D70">
        <w:rPr>
          <w:vertAlign w:val="superscript"/>
        </w:rPr>
        <w:footnoteReference w:id="134"/>
      </w:r>
      <w:r w:rsidR="00F1458F" w:rsidRPr="000D1D70">
        <w:t xml:space="preserve">  She stressed that “reliance on welfare can contribute to a vicious circle”</w:t>
      </w:r>
      <w:r w:rsidR="00F1458F" w:rsidRPr="000D1D70">
        <w:rPr>
          <w:vertAlign w:val="superscript"/>
        </w:rPr>
        <w:footnoteReference w:id="135"/>
      </w:r>
      <w:r w:rsidR="00F1458F" w:rsidRPr="000D1D70">
        <w:t xml:space="preserve"> and charged that: “opposition to the incentive program entirely overlooks the cost to young people of being on welfare during the formative years of their working lives.”</w:t>
      </w:r>
      <w:r w:rsidR="00F1458F" w:rsidRPr="000D1D70">
        <w:rPr>
          <w:vertAlign w:val="superscript"/>
        </w:rPr>
        <w:footnoteReference w:id="136"/>
      </w:r>
      <w:r w:rsidR="00F1458F">
        <w:t xml:space="preserve">  </w:t>
      </w:r>
    </w:p>
    <w:p w:rsidR="005F6669" w:rsidRDefault="00F1458F" w:rsidP="005F6669">
      <w:pPr>
        <w:spacing w:line="480" w:lineRule="auto"/>
        <w:ind w:firstLine="720"/>
      </w:pPr>
      <w:r>
        <w:t xml:space="preserve">Chief Justice McLachlin also </w:t>
      </w:r>
      <w:r w:rsidRPr="00A84456">
        <w:t>accepted the</w:t>
      </w:r>
      <w:r w:rsidR="005F6669">
        <w:t xml:space="preserve"> </w:t>
      </w:r>
      <w:r w:rsidR="005D5A1C">
        <w:t>Québec</w:t>
      </w:r>
      <w:r w:rsidR="005F6669">
        <w:t xml:space="preserve"> government</w:t>
      </w:r>
      <w:r w:rsidRPr="00A84456">
        <w:t>’s argument that difficulties facing young welfare recipients were owing not to the government’s actions, but to personal circumstances and individual choice</w:t>
      </w:r>
      <w:r w:rsidR="00240F6D">
        <w:t xml:space="preserve">.  </w:t>
      </w:r>
      <w:r w:rsidR="00C05B58">
        <w:t>Although, as Justice Bastarache detailed in his section 15 dissent,</w:t>
      </w:r>
      <w:r w:rsidR="00C05B58" w:rsidRPr="000D1D70">
        <w:rPr>
          <w:vertAlign w:val="superscript"/>
        </w:rPr>
        <w:footnoteReference w:id="137"/>
      </w:r>
      <w:r w:rsidR="00C05B58">
        <w:t xml:space="preserve"> there were </w:t>
      </w:r>
      <w:r w:rsidR="00240F6D">
        <w:t xml:space="preserve">numerous barriers </w:t>
      </w:r>
      <w:r w:rsidR="00800827">
        <w:t xml:space="preserve">to </w:t>
      </w:r>
      <w:r w:rsidR="00C05B58">
        <w:t xml:space="preserve">accessing </w:t>
      </w:r>
      <w:r w:rsidR="00800827">
        <w:t>the remedial education and job training programs</w:t>
      </w:r>
      <w:r w:rsidR="00244676">
        <w:t>,</w:t>
      </w:r>
      <w:r w:rsidR="00244676" w:rsidRPr="000D1D70">
        <w:rPr>
          <w:vertAlign w:val="superscript"/>
        </w:rPr>
        <w:footnoteReference w:id="138"/>
      </w:r>
      <w:r w:rsidR="00244676">
        <w:t xml:space="preserve"> </w:t>
      </w:r>
      <w:r w:rsidR="00800827">
        <w:t>the Chief Justice affirmed</w:t>
      </w:r>
      <w:r w:rsidRPr="00A84456">
        <w:t>: “there is no evidence in the record that any welfare recipient under 30 wanting to participate in one of the programs was refused enrollment.”</w:t>
      </w:r>
      <w:r w:rsidRPr="00A84456">
        <w:rPr>
          <w:vertAlign w:val="superscript"/>
        </w:rPr>
        <w:footnoteReference w:id="139"/>
      </w:r>
      <w:r w:rsidR="00377414">
        <w:t xml:space="preserve">  </w:t>
      </w:r>
      <w:r w:rsidR="00E13297">
        <w:t>As for Louise Gosselin herself, t</w:t>
      </w:r>
      <w:r w:rsidR="00F169D4" w:rsidRPr="00377414">
        <w:t xml:space="preserve">he Chief Justice </w:t>
      </w:r>
      <w:r w:rsidR="0048240E" w:rsidRPr="00377414">
        <w:t>concluded</w:t>
      </w:r>
      <w:r w:rsidR="00F169D4" w:rsidRPr="00377414">
        <w:t xml:space="preserve"> that </w:t>
      </w:r>
      <w:r w:rsidR="00E13297">
        <w:t xml:space="preserve">she </w:t>
      </w:r>
      <w:r w:rsidR="00F169D4" w:rsidRPr="00377414">
        <w:t>“</w:t>
      </w:r>
      <w:r w:rsidR="005104BC" w:rsidRPr="00377414">
        <w:t>ended up dropping out of virtually every program she started, apparently because of her own personal problems an</w:t>
      </w:r>
      <w:r w:rsidR="00F169D4" w:rsidRPr="00377414">
        <w:t>d personality traits”</w:t>
      </w:r>
      <w:r w:rsidR="005104BC" w:rsidRPr="00377414">
        <w:t xml:space="preserve"> rather than because of any f</w:t>
      </w:r>
      <w:r w:rsidR="00700075" w:rsidRPr="00377414">
        <w:t>laws in the programs themselves</w:t>
      </w:r>
      <w:r w:rsidR="00E13297">
        <w:t>.</w:t>
      </w:r>
      <w:r w:rsidR="00555953" w:rsidRPr="00377414">
        <w:t>”</w:t>
      </w:r>
      <w:r w:rsidR="005104BC" w:rsidRPr="00377414">
        <w:rPr>
          <w:vertAlign w:val="superscript"/>
        </w:rPr>
        <w:footnoteReference w:id="140"/>
      </w:r>
      <w:r w:rsidR="00A717A6">
        <w:t xml:space="preserve">  The Chief Justice’s inattention</w:t>
      </w:r>
      <w:r w:rsidR="00272222">
        <w:t xml:space="preserve"> to</w:t>
      </w:r>
      <w:r w:rsidR="00A717A6">
        <w:t>, if not callous disregard for</w:t>
      </w:r>
      <w:r w:rsidR="00272222">
        <w:t xml:space="preserve">, the </w:t>
      </w:r>
      <w:r w:rsidR="004205B5">
        <w:t xml:space="preserve">actual </w:t>
      </w:r>
      <w:r w:rsidR="00A717A6">
        <w:t>experience of the claimants, exhaustively documented in the expert and Louise Gosselin’s own evidence, produced a decision completely out of touch with</w:t>
      </w:r>
      <w:r w:rsidR="00272222">
        <w:t xml:space="preserve"> the reality of the impugned regime</w:t>
      </w:r>
      <w:r w:rsidR="004205B5">
        <w:t xml:space="preserve"> and young welfare recipients lives</w:t>
      </w:r>
      <w:r w:rsidR="00272222">
        <w:t>.</w:t>
      </w:r>
      <w:r w:rsidR="004205B5" w:rsidRPr="00F177F1">
        <w:rPr>
          <w:vertAlign w:val="superscript"/>
        </w:rPr>
        <w:footnoteReference w:id="141"/>
      </w:r>
    </w:p>
    <w:p w:rsidR="00E85702" w:rsidRDefault="00BA64F5" w:rsidP="005F6669">
      <w:pPr>
        <w:spacing w:line="480" w:lineRule="auto"/>
        <w:ind w:firstLine="720"/>
      </w:pPr>
      <w:r>
        <w:rPr>
          <w:bCs/>
        </w:rPr>
        <w:t>Unfiltered by stereotype</w:t>
      </w:r>
      <w:r w:rsidR="00272222">
        <w:rPr>
          <w:bCs/>
        </w:rPr>
        <w:t xml:space="preserve">s or preconceptions about the respective motivations of governments and those seeking </w:t>
      </w:r>
      <w:r w:rsidR="004D4B40">
        <w:rPr>
          <w:bCs/>
        </w:rPr>
        <w:t xml:space="preserve">financial </w:t>
      </w:r>
      <w:r w:rsidR="00272222">
        <w:rPr>
          <w:bCs/>
        </w:rPr>
        <w:t>assistance</w:t>
      </w:r>
      <w:r>
        <w:rPr>
          <w:bCs/>
        </w:rPr>
        <w:t>, the dissenting justices</w:t>
      </w:r>
      <w:r w:rsidR="00421867">
        <w:rPr>
          <w:bCs/>
        </w:rPr>
        <w:t>’</w:t>
      </w:r>
      <w:r>
        <w:rPr>
          <w:bCs/>
        </w:rPr>
        <w:t xml:space="preserve"> </w:t>
      </w:r>
      <w:r w:rsidR="00272222">
        <w:rPr>
          <w:bCs/>
        </w:rPr>
        <w:t xml:space="preserve">more critical </w:t>
      </w:r>
      <w:r>
        <w:rPr>
          <w:bCs/>
        </w:rPr>
        <w:t>appraisal of the evidence le</w:t>
      </w:r>
      <w:r w:rsidR="001F58D0">
        <w:rPr>
          <w:bCs/>
        </w:rPr>
        <w:t>d them to very different conclusion</w:t>
      </w:r>
      <w:r>
        <w:rPr>
          <w:bCs/>
        </w:rPr>
        <w:t xml:space="preserve">s.  </w:t>
      </w:r>
      <w:r w:rsidR="00E13297" w:rsidRPr="005104BC">
        <w:t>Having earlier referred to the multiple ways in which the inadequate benefits threatened the physical and mental health and security of young welfare recipients,</w:t>
      </w:r>
      <w:r w:rsidR="00E13297" w:rsidRPr="005104BC">
        <w:rPr>
          <w:vertAlign w:val="superscript"/>
        </w:rPr>
        <w:footnoteReference w:id="142"/>
      </w:r>
      <w:r w:rsidR="00E13297" w:rsidRPr="005104BC">
        <w:t xml:space="preserve"> Justice Arbour </w:t>
      </w:r>
      <w:r w:rsidR="00E13297">
        <w:t xml:space="preserve">underlined </w:t>
      </w:r>
      <w:r w:rsidR="00E13297" w:rsidRPr="005104BC">
        <w:t xml:space="preserve">the </w:t>
      </w:r>
      <w:r w:rsidR="00704754">
        <w:t xml:space="preserve">challenge </w:t>
      </w:r>
      <w:r w:rsidR="00E13297" w:rsidRPr="005104BC">
        <w:t xml:space="preserve">of job hunting for those who could not afford a telephone, suitable clothes or </w:t>
      </w:r>
      <w:r w:rsidR="00E13297">
        <w:t xml:space="preserve">transportation and </w:t>
      </w:r>
      <w:r w:rsidR="00704754">
        <w:t xml:space="preserve">the reality </w:t>
      </w:r>
      <w:r w:rsidR="00E13297">
        <w:t>that “</w:t>
      </w:r>
      <w:r w:rsidR="00E13297" w:rsidRPr="005104BC">
        <w:t>inadequate food and shelter interfere with the capacity both for learn</w:t>
      </w:r>
      <w:r w:rsidR="00E13297">
        <w:t>ing as well as for work itself.”</w:t>
      </w:r>
      <w:r w:rsidR="00E13297" w:rsidRPr="005104BC">
        <w:rPr>
          <w:vertAlign w:val="superscript"/>
        </w:rPr>
        <w:footnoteReference w:id="143"/>
      </w:r>
      <w:r w:rsidR="00E13297" w:rsidRPr="005104BC">
        <w:t xml:space="preserve">  </w:t>
      </w:r>
      <w:r w:rsidR="00E13297">
        <w:t>As she observed</w:t>
      </w:r>
      <w:r w:rsidR="005F6669">
        <w:t>: “</w:t>
      </w:r>
      <w:r w:rsidR="00E13297" w:rsidRPr="003B4242">
        <w:t>the long-term importance of continuing education and integration into the workforce is undermined when those at whom such ‘help’ is directed cannot meet their basic short-</w:t>
      </w:r>
      <w:r w:rsidR="005F6669">
        <w:t>term subsistence requirements</w:t>
      </w:r>
      <w:r w:rsidR="00E13297" w:rsidRPr="003B4242">
        <w:t>.</w:t>
      </w:r>
      <w:r w:rsidR="005F6669">
        <w:t>”</w:t>
      </w:r>
      <w:r w:rsidR="00E13297" w:rsidRPr="003B4242">
        <w:rPr>
          <w:vertAlign w:val="superscript"/>
        </w:rPr>
        <w:footnoteReference w:id="144"/>
      </w:r>
      <w:r w:rsidR="005F6669">
        <w:t xml:space="preserve">  </w:t>
      </w:r>
      <w:r w:rsidR="00310667">
        <w:t xml:space="preserve">In terms of the efficacy of the remedial education and job training programs, Justice Arbour was succinct: “The various remedial programs put </w:t>
      </w:r>
      <w:r w:rsidR="00216C3A">
        <w:t>i</w:t>
      </w:r>
      <w:r w:rsidR="00310667">
        <w:t xml:space="preserve">n place in 1984 simply did not work: a startling 88.8 percent of the young adults who were eligible to participate in the programs were unable to increase their benefits to the level payable to adults 30 and over.  In these conditions, the physical and psychological security of young </w:t>
      </w:r>
      <w:r w:rsidR="00BE7298">
        <w:t>adults was severely compromised.</w:t>
      </w:r>
      <w:r w:rsidR="00310667">
        <w:t>”</w:t>
      </w:r>
      <w:r w:rsidR="00E85702" w:rsidRPr="003B4242">
        <w:rPr>
          <w:vertAlign w:val="superscript"/>
        </w:rPr>
        <w:footnoteReference w:id="145"/>
      </w:r>
    </w:p>
    <w:p w:rsidR="00EB7345" w:rsidRPr="00F450F4" w:rsidRDefault="00E13297" w:rsidP="00F450F4">
      <w:pPr>
        <w:spacing w:line="480" w:lineRule="auto"/>
        <w:ind w:firstLine="360"/>
        <w:rPr>
          <w:vertAlign w:val="superscript"/>
        </w:rPr>
      </w:pPr>
      <w:r>
        <w:t>For his part, p</w:t>
      </w:r>
      <w:r w:rsidRPr="005104BC">
        <w:t xml:space="preserve">ointing to the weight of expert evidence </w:t>
      </w:r>
      <w:r>
        <w:t xml:space="preserve">relating to youth </w:t>
      </w:r>
      <w:r w:rsidRPr="005104BC">
        <w:t xml:space="preserve">unemployment in Québec in the mid-eighties, </w:t>
      </w:r>
      <w:r>
        <w:t>Justice LeBel asserted: “</w:t>
      </w:r>
      <w:r w:rsidRPr="005104BC">
        <w:t>Young social assistance recipients in the 1980s certainly did not latch onto social assistance out of laziness; they were stuck receiving welfare becaus</w:t>
      </w:r>
      <w:r>
        <w:t>e there were no jobs available.”</w:t>
      </w:r>
      <w:r w:rsidRPr="005104BC">
        <w:rPr>
          <w:vertAlign w:val="superscript"/>
        </w:rPr>
        <w:footnoteReference w:id="146"/>
      </w:r>
      <w:r w:rsidRPr="005104BC">
        <w:t xml:space="preserve">  </w:t>
      </w:r>
      <w:r>
        <w:t xml:space="preserve">Justice LeBel </w:t>
      </w:r>
      <w:r w:rsidR="00704754">
        <w:t xml:space="preserve">observed that the province </w:t>
      </w:r>
      <w:r>
        <w:t xml:space="preserve">had </w:t>
      </w:r>
      <w:r w:rsidR="00704754">
        <w:t>offer</w:t>
      </w:r>
      <w:r>
        <w:t xml:space="preserve">ed no </w:t>
      </w:r>
      <w:r w:rsidRPr="005104BC">
        <w:t>evid</w:t>
      </w:r>
      <w:r>
        <w:t>ence</w:t>
      </w:r>
      <w:r w:rsidRPr="005104BC">
        <w:t xml:space="preserve"> that young welfare recipients </w:t>
      </w:r>
      <w:r>
        <w:t xml:space="preserve">would not have </w:t>
      </w:r>
      <w:r w:rsidRPr="005104BC">
        <w:t>participated in the education and job training programs without the financial incentive created</w:t>
      </w:r>
      <w:r>
        <w:t xml:space="preserve"> by the differential regime.  In </w:t>
      </w:r>
      <w:r w:rsidR="00B412FD">
        <w:t xml:space="preserve">his </w:t>
      </w:r>
      <w:r>
        <w:t>view: “</w:t>
      </w:r>
      <w:r w:rsidRPr="005104BC">
        <w:t>the Québec government could have achieved its objective of developing employability just as well without abandoning recipients under the age of 30</w:t>
      </w:r>
      <w:r>
        <w:t xml:space="preserve"> to these paltry benefits.”</w:t>
      </w:r>
      <w:r w:rsidRPr="005104BC">
        <w:rPr>
          <w:vertAlign w:val="superscript"/>
        </w:rPr>
        <w:t xml:space="preserve"> </w:t>
      </w:r>
      <w:r w:rsidRPr="005104BC">
        <w:rPr>
          <w:vertAlign w:val="superscript"/>
        </w:rPr>
        <w:footnoteReference w:id="147"/>
      </w:r>
      <w:r w:rsidR="00EB7345">
        <w:rPr>
          <w:bCs/>
        </w:rPr>
        <w:t xml:space="preserve"> </w:t>
      </w:r>
    </w:p>
    <w:p w:rsidR="00EB7345" w:rsidRPr="00F6261B" w:rsidRDefault="00EB7345" w:rsidP="008E567D">
      <w:pPr>
        <w:spacing w:line="480" w:lineRule="auto"/>
        <w:rPr>
          <w:bCs/>
        </w:rPr>
      </w:pPr>
    </w:p>
    <w:p w:rsidR="00F6261B" w:rsidRPr="00943267" w:rsidRDefault="00986390" w:rsidP="00943267">
      <w:pPr>
        <w:pStyle w:val="Paragraphedeliste"/>
        <w:numPr>
          <w:ilvl w:val="0"/>
          <w:numId w:val="15"/>
        </w:numPr>
        <w:spacing w:line="480" w:lineRule="auto"/>
        <w:rPr>
          <w:b/>
          <w:bCs/>
        </w:rPr>
      </w:pPr>
      <w:r>
        <w:rPr>
          <w:b/>
          <w:bCs/>
        </w:rPr>
        <w:t>The Framing of Louise Gosselin’s Section 7 C</w:t>
      </w:r>
      <w:r w:rsidR="00F6261B" w:rsidRPr="00943267">
        <w:rPr>
          <w:b/>
          <w:bCs/>
        </w:rPr>
        <w:t>laim</w:t>
      </w:r>
    </w:p>
    <w:p w:rsidR="009F1F25" w:rsidRDefault="00216C3A" w:rsidP="00BE58A4">
      <w:pPr>
        <w:spacing w:line="480" w:lineRule="auto"/>
        <w:ind w:firstLine="360"/>
      </w:pPr>
      <w:r>
        <w:t>L</w:t>
      </w:r>
      <w:r w:rsidR="008E567D">
        <w:t xml:space="preserve">ike </w:t>
      </w:r>
      <w:r w:rsidR="008B0713">
        <w:t xml:space="preserve">the </w:t>
      </w:r>
      <w:r w:rsidR="00165ABF">
        <w:t xml:space="preserve">Chief Justice’s </w:t>
      </w:r>
      <w:r w:rsidR="008E567D">
        <w:t>approach to the evidence</w:t>
      </w:r>
      <w:r w:rsidR="00994786">
        <w:t xml:space="preserve"> in </w:t>
      </w:r>
      <w:r w:rsidR="00994786" w:rsidRPr="00994786">
        <w:rPr>
          <w:i/>
        </w:rPr>
        <w:t>Gosselin</w:t>
      </w:r>
      <w:r w:rsidR="008E567D">
        <w:t xml:space="preserve">, </w:t>
      </w:r>
      <w:r w:rsidR="009D529C">
        <w:t xml:space="preserve">the manner in which </w:t>
      </w:r>
      <w:r w:rsidR="00165ABF">
        <w:t>her majority</w:t>
      </w:r>
      <w:r w:rsidR="008E567D">
        <w:t xml:space="preserve"> </w:t>
      </w:r>
      <w:r w:rsidR="00165ABF">
        <w:t xml:space="preserve">judgment </w:t>
      </w:r>
      <w:r w:rsidR="008E567D">
        <w:t xml:space="preserve">framed </w:t>
      </w:r>
      <w:r w:rsidR="00AA2A7E">
        <w:t xml:space="preserve">Louise Gosselin’s section 7 </w:t>
      </w:r>
      <w:r w:rsidR="00E87566">
        <w:t xml:space="preserve">claim </w:t>
      </w:r>
      <w:r w:rsidR="0057591B">
        <w:t xml:space="preserve">proved </w:t>
      </w:r>
      <w:r w:rsidR="009D529C">
        <w:t>highly problematic</w:t>
      </w:r>
      <w:r w:rsidR="008E567D">
        <w:t xml:space="preserve"> not only for the success </w:t>
      </w:r>
      <w:r w:rsidR="00AD0D23">
        <w:t>Ms. Gosselin’s</w:t>
      </w:r>
      <w:r w:rsidR="00E87566">
        <w:t xml:space="preserve"> argument</w:t>
      </w:r>
      <w:r>
        <w:t>,</w:t>
      </w:r>
      <w:r w:rsidR="008E567D">
        <w:t xml:space="preserve"> </w:t>
      </w:r>
      <w:r w:rsidR="0057591B">
        <w:t xml:space="preserve">but </w:t>
      </w:r>
      <w:r w:rsidR="007A32E3">
        <w:t>in</w:t>
      </w:r>
      <w:r w:rsidR="00AD0D23">
        <w:t xml:space="preserve"> </w:t>
      </w:r>
      <w:r w:rsidR="0057591B">
        <w:t xml:space="preserve">subsequent </w:t>
      </w:r>
      <w:r w:rsidR="00797AB2">
        <w:t xml:space="preserve">poverty-related </w:t>
      </w:r>
      <w:r w:rsidR="008B0713" w:rsidRPr="008B0713">
        <w:rPr>
          <w:i/>
        </w:rPr>
        <w:t>Charter</w:t>
      </w:r>
      <w:r w:rsidR="00AD0D23">
        <w:t xml:space="preserve"> cases</w:t>
      </w:r>
      <w:r>
        <w:t xml:space="preserve">.  What </w:t>
      </w:r>
      <w:r w:rsidR="00E87566">
        <w:t xml:space="preserve">Ms. Gosselin </w:t>
      </w:r>
      <w:r>
        <w:t xml:space="preserve">asked </w:t>
      </w:r>
      <w:r w:rsidR="001F58D0">
        <w:t>the Court to decid</w:t>
      </w:r>
      <w:r w:rsidR="00ED666C">
        <w:t>e was whether</w:t>
      </w:r>
      <w:r w:rsidR="00BB4A69">
        <w:t xml:space="preserve">, by </w:t>
      </w:r>
      <w:r w:rsidR="00A37284">
        <w:t xml:space="preserve">reducing the under-30 </w:t>
      </w:r>
      <w:r w:rsidR="00994786">
        <w:t xml:space="preserve">welfare </w:t>
      </w:r>
      <w:r w:rsidR="00A37284">
        <w:t xml:space="preserve">rate to a level </w:t>
      </w:r>
      <w:r w:rsidR="00DB3EAE">
        <w:t xml:space="preserve">that </w:t>
      </w:r>
      <w:r w:rsidR="00A37284">
        <w:t>made</w:t>
      </w:r>
      <w:r w:rsidR="00BB4A69">
        <w:t xml:space="preserve"> recipients sick, homeless, hungry and even suicidal, </w:t>
      </w:r>
      <w:r w:rsidR="00493B2D">
        <w:t xml:space="preserve">the </w:t>
      </w:r>
      <w:r w:rsidR="005D5A1C">
        <w:t>Québec</w:t>
      </w:r>
      <w:r w:rsidR="00493B2D">
        <w:t xml:space="preserve"> government </w:t>
      </w:r>
      <w:r w:rsidR="00866E95">
        <w:t xml:space="preserve">had violated their section 7 </w:t>
      </w:r>
      <w:r w:rsidR="006E4F33">
        <w:t xml:space="preserve">rights to </w:t>
      </w:r>
      <w:r w:rsidR="00A37284">
        <w:t>security of the person.  What the majority</w:t>
      </w:r>
      <w:r w:rsidR="00BB4A69">
        <w:t xml:space="preserve"> did</w:t>
      </w:r>
      <w:r w:rsidR="00A37284">
        <w:t xml:space="preserve">, however, was to </w:t>
      </w:r>
      <w:r w:rsidR="00BB4A69">
        <w:t xml:space="preserve">transform </w:t>
      </w:r>
      <w:r w:rsidR="00FA4264">
        <w:t xml:space="preserve">her </w:t>
      </w:r>
      <w:r w:rsidR="00A370A8">
        <w:t xml:space="preserve">challenge </w:t>
      </w:r>
      <w:r w:rsidR="00866E95">
        <w:t xml:space="preserve">to the </w:t>
      </w:r>
      <w:r w:rsidR="00866E95" w:rsidRPr="00866E95">
        <w:rPr>
          <w:i/>
        </w:rPr>
        <w:t>Regulation</w:t>
      </w:r>
      <w:r w:rsidR="00866E95">
        <w:t xml:space="preserve"> </w:t>
      </w:r>
      <w:r w:rsidR="00A314B6" w:rsidRPr="00A314B6">
        <w:t xml:space="preserve">into </w:t>
      </w:r>
      <w:r w:rsidR="00400772">
        <w:t>a far more abstract and sweeping claim</w:t>
      </w:r>
      <w:r w:rsidR="00866E95">
        <w:t xml:space="preserve">.  </w:t>
      </w:r>
      <w:r w:rsidR="00BE58A4">
        <w:t>As the Chief Justice put it, Ms. Gosselin was seeking “a novel application of s.7 as the basis for a positive state obligation to guarantee adequate living standards” – one that, in her view, the evidence failed to support.</w:t>
      </w:r>
      <w:r w:rsidR="00BE58A4" w:rsidRPr="005104BC">
        <w:rPr>
          <w:vertAlign w:val="superscript"/>
        </w:rPr>
        <w:footnoteReference w:id="148"/>
      </w:r>
      <w:r w:rsidR="00BE58A4">
        <w:t xml:space="preserve">  </w:t>
      </w:r>
      <w:r w:rsidR="00866E95">
        <w:t>I</w:t>
      </w:r>
      <w:r w:rsidR="004C06C0">
        <w:t xml:space="preserve">nstead of </w:t>
      </w:r>
      <w:r w:rsidR="00AA2A7E">
        <w:t xml:space="preserve">examining </w:t>
      </w:r>
      <w:r w:rsidR="004C06C0">
        <w:t xml:space="preserve">the </w:t>
      </w:r>
      <w:r w:rsidR="00866E95">
        <w:t xml:space="preserve">actual </w:t>
      </w:r>
      <w:r w:rsidR="004C06C0">
        <w:t>impact of the</w:t>
      </w:r>
      <w:r w:rsidR="00AA2A7E">
        <w:t xml:space="preserve"> impugned</w:t>
      </w:r>
      <w:r w:rsidR="00F52840">
        <w:t xml:space="preserve"> </w:t>
      </w:r>
      <w:r w:rsidR="004C06C0" w:rsidRPr="004C06C0">
        <w:rPr>
          <w:i/>
        </w:rPr>
        <w:t>Regulation</w:t>
      </w:r>
      <w:r w:rsidR="004C06C0">
        <w:t xml:space="preserve"> on the physical and psychological security </w:t>
      </w:r>
      <w:r w:rsidR="00A0093C">
        <w:t xml:space="preserve">and integrity </w:t>
      </w:r>
      <w:r w:rsidR="004C06C0">
        <w:t>of those affected</w:t>
      </w:r>
      <w:r>
        <w:t xml:space="preserve"> – the issue that was the</w:t>
      </w:r>
      <w:r w:rsidR="00C1669D">
        <w:t xml:space="preserve"> primary focus of Louise Gosselin’s exhaust</w:t>
      </w:r>
      <w:r w:rsidR="00866E95">
        <w:t xml:space="preserve">ive personal and expert evidence – the Chief Justice failed even to </w:t>
      </w:r>
      <w:r w:rsidR="00431809">
        <w:t>acknowledge those egregious harms.  Instead, t</w:t>
      </w:r>
      <w:r w:rsidR="00866E95">
        <w:t xml:space="preserve">he </w:t>
      </w:r>
      <w:r w:rsidR="0039712E">
        <w:t xml:space="preserve">starting point for </w:t>
      </w:r>
      <w:r w:rsidR="00BE58A4">
        <w:t xml:space="preserve">her </w:t>
      </w:r>
      <w:r w:rsidR="0039712E">
        <w:t xml:space="preserve">analysis </w:t>
      </w:r>
      <w:r w:rsidR="00431809">
        <w:t xml:space="preserve">became a different question: </w:t>
      </w:r>
      <w:r w:rsidR="007869CA">
        <w:t>whether</w:t>
      </w:r>
      <w:r w:rsidR="00493B2D">
        <w:t>, in the absence of any state action,</w:t>
      </w:r>
      <w:r w:rsidR="007869CA">
        <w:t xml:space="preserve"> section 7 guaranteed a ri</w:t>
      </w:r>
      <w:r>
        <w:t>ght to adequate welfare.</w:t>
      </w:r>
      <w:r w:rsidR="00C1669D" w:rsidRPr="005104BC">
        <w:rPr>
          <w:vertAlign w:val="superscript"/>
        </w:rPr>
        <w:footnoteReference w:id="149"/>
      </w:r>
      <w:r w:rsidR="00CF1C08">
        <w:t xml:space="preserve"> </w:t>
      </w:r>
      <w:r w:rsidR="00A314B6">
        <w:t xml:space="preserve"> </w:t>
      </w:r>
      <w:r w:rsidR="00075983">
        <w:t xml:space="preserve">Framed in this way, </w:t>
      </w:r>
      <w:r w:rsidR="0039712E">
        <w:t xml:space="preserve">Louise </w:t>
      </w:r>
      <w:r w:rsidR="00075983">
        <w:t>Gosselin fac</w:t>
      </w:r>
      <w:r w:rsidR="004C06C0">
        <w:t xml:space="preserve">ed what became an insurmountable </w:t>
      </w:r>
      <w:r w:rsidR="00075983">
        <w:t>doctrinal and evidentiary burden</w:t>
      </w:r>
      <w:r w:rsidR="004909B9">
        <w:t xml:space="preserve">.  </w:t>
      </w:r>
    </w:p>
    <w:p w:rsidR="00F12FCB" w:rsidRDefault="00AD0D23" w:rsidP="00BE58A4">
      <w:pPr>
        <w:spacing w:line="480" w:lineRule="auto"/>
        <w:ind w:firstLine="567"/>
      </w:pPr>
      <w:r>
        <w:t xml:space="preserve">Again, the difference between the majority </w:t>
      </w:r>
      <w:r w:rsidR="007869CA">
        <w:t>and dissenting justices’ analyse</w:t>
      </w:r>
      <w:r>
        <w:t xml:space="preserve">s of Louise Gosselin’s claim is striking.  </w:t>
      </w:r>
      <w:r w:rsidR="00461099">
        <w:t>From Justice Arbour’s perspective,</w:t>
      </w:r>
      <w:r w:rsidR="002C04D6">
        <w:t xml:space="preserve"> </w:t>
      </w:r>
      <w:r w:rsidR="007869CA">
        <w:t xml:space="preserve">there was no </w:t>
      </w:r>
      <w:r w:rsidR="00F12FCB">
        <w:t xml:space="preserve">doubt </w:t>
      </w:r>
      <w:r w:rsidR="007869CA">
        <w:t xml:space="preserve">that </w:t>
      </w:r>
      <w:r w:rsidR="002C04D6">
        <w:t xml:space="preserve">the reduction in the basic needs benefit imposed by the </w:t>
      </w:r>
      <w:r w:rsidR="002C04D6" w:rsidRPr="002C04D6">
        <w:rPr>
          <w:i/>
        </w:rPr>
        <w:t>Regulation</w:t>
      </w:r>
      <w:r w:rsidR="002C04D6">
        <w:t xml:space="preserve"> </w:t>
      </w:r>
      <w:r w:rsidR="008C0297">
        <w:t xml:space="preserve">seriously infringed </w:t>
      </w:r>
      <w:r w:rsidR="007869CA">
        <w:t xml:space="preserve">the </w:t>
      </w:r>
      <w:r w:rsidR="002C04D6">
        <w:t>physical integrity and security of</w:t>
      </w:r>
      <w:r w:rsidR="007869CA">
        <w:t xml:space="preserve"> those affected</w:t>
      </w:r>
      <w:r w:rsidR="00D15FBB">
        <w:t>: “First, there are the health risks that flow directly from the dismal living conditions that $170/month afford …Second, the malnourishment and undernourishment of young welfare recipients also result in a plethora of health proble</w:t>
      </w:r>
      <w:r w:rsidR="00F12FCB">
        <w:t>ms.”</w:t>
      </w:r>
      <w:r w:rsidR="00F12FCB" w:rsidRPr="005104BC">
        <w:rPr>
          <w:vertAlign w:val="superscript"/>
        </w:rPr>
        <w:footnoteReference w:id="150"/>
      </w:r>
      <w:r w:rsidR="00F12FCB">
        <w:t xml:space="preserve">  T</w:t>
      </w:r>
      <w:r w:rsidR="00D15FBB">
        <w:t xml:space="preserve">he deprivation of psychological security of the person caused by the </w:t>
      </w:r>
      <w:r w:rsidR="00D15FBB" w:rsidRPr="007869CA">
        <w:rPr>
          <w:i/>
        </w:rPr>
        <w:t>Regulation</w:t>
      </w:r>
      <w:r w:rsidR="00D15FBB">
        <w:t xml:space="preserve"> was</w:t>
      </w:r>
      <w:r w:rsidR="00F12FCB">
        <w:t>, in Justice Arbour’s view,</w:t>
      </w:r>
      <w:r w:rsidR="00D15FBB">
        <w:t xml:space="preserve"> equally devastating: “isolation, depression, humiliation, low self-esteem, stress and drug addiction.”</w:t>
      </w:r>
      <w:r w:rsidR="00F12FCB" w:rsidRPr="005104BC">
        <w:rPr>
          <w:vertAlign w:val="superscript"/>
        </w:rPr>
        <w:footnoteReference w:id="151"/>
      </w:r>
      <w:r w:rsidR="00F12FCB">
        <w:t xml:space="preserve">  </w:t>
      </w:r>
      <w:r w:rsidR="00216C3A">
        <w:t xml:space="preserve">As </w:t>
      </w:r>
      <w:r w:rsidR="00310667">
        <w:t xml:space="preserve">Justice Arbour </w:t>
      </w:r>
      <w:r w:rsidR="00216C3A">
        <w:t>summarized it</w:t>
      </w:r>
      <w:r w:rsidR="00310667">
        <w:t xml:space="preserve">: </w:t>
      </w:r>
      <w:r w:rsidR="00F12FCB">
        <w:t>“</w:t>
      </w:r>
      <w:r w:rsidR="00310667">
        <w:t>this evidence overwhelmingly demonstrates that the exclusion of young adults from the full benefits of the social assistance regime substantially interfered with their fundamental right to security of the person and, at the margins, perhaps wit</w:t>
      </w:r>
      <w:r w:rsidR="006016AD">
        <w:t>h their right to life as well.</w:t>
      </w:r>
      <w:r w:rsidR="00F12FCB">
        <w:t>”</w:t>
      </w:r>
      <w:r w:rsidR="00310667" w:rsidRPr="005104BC">
        <w:rPr>
          <w:vertAlign w:val="superscript"/>
        </w:rPr>
        <w:footnoteReference w:id="152"/>
      </w:r>
      <w:r w:rsidR="00310667">
        <w:t xml:space="preserve">  </w:t>
      </w:r>
    </w:p>
    <w:p w:rsidR="00BE58A4" w:rsidRDefault="00BE58A4" w:rsidP="00BE58A4">
      <w:pPr>
        <w:spacing w:line="480" w:lineRule="auto"/>
        <w:ind w:firstLine="567"/>
      </w:pPr>
      <w:r w:rsidRPr="00BE58A4">
        <w:rPr>
          <w:lang w:val="fr-CA"/>
        </w:rPr>
        <w:t>Justice l’Heureux-Dubé concurred with Justice Arbour’s analysis.</w:t>
      </w:r>
      <w:bookmarkStart w:id="12" w:name="_Hlk495391670"/>
      <w:r w:rsidRPr="00D038A6">
        <w:rPr>
          <w:vertAlign w:val="superscript"/>
        </w:rPr>
        <w:footnoteReference w:id="153"/>
      </w:r>
      <w:bookmarkEnd w:id="12"/>
      <w:r w:rsidRPr="00BE58A4">
        <w:rPr>
          <w:lang w:val="fr-CA"/>
        </w:rPr>
        <w:t xml:space="preserve">  </w:t>
      </w:r>
      <w:r>
        <w:t xml:space="preserve">In </w:t>
      </w:r>
      <w:r w:rsidR="00934912">
        <w:t xml:space="preserve">her </w:t>
      </w:r>
      <w:r>
        <w:t xml:space="preserve">view: </w:t>
      </w:r>
    </w:p>
    <w:p w:rsidR="00BE58A4" w:rsidRDefault="00BE58A4" w:rsidP="00BE58A4">
      <w:pPr>
        <w:spacing w:line="240" w:lineRule="auto"/>
        <w:ind w:left="567" w:right="567"/>
      </w:pPr>
      <w:r>
        <w:t>There is little question that living with the constant threat of poverty is psychologically harmful. There is no dispute that Ms. Gosselin lived at times below the government’s own standard of bare subsistence.  In 1987, the monthly cost of proper nourishment was $152.  The guaranteed monthly payment to young adults was $170.  I cannot imagine how it can be maintained that Ms. Gosselin’s physical integrity was not breached.</w:t>
      </w:r>
      <w:r w:rsidRPr="00D038A6">
        <w:rPr>
          <w:vertAlign w:val="superscript"/>
        </w:rPr>
        <w:footnoteReference w:id="154"/>
      </w:r>
    </w:p>
    <w:p w:rsidR="00BE58A4" w:rsidRDefault="00BE58A4" w:rsidP="00BE58A4">
      <w:pPr>
        <w:spacing w:line="240" w:lineRule="auto"/>
        <w:ind w:left="567" w:right="567"/>
      </w:pPr>
    </w:p>
    <w:p w:rsidR="00BE58A4" w:rsidRPr="00C67556" w:rsidRDefault="00C67556" w:rsidP="00C67556">
      <w:pPr>
        <w:spacing w:line="480" w:lineRule="auto"/>
      </w:pPr>
      <w:r>
        <w:t>Instead of</w:t>
      </w:r>
      <w:r w:rsidR="006041FA">
        <w:t xml:space="preserve"> ruling on </w:t>
      </w:r>
      <w:r>
        <w:t xml:space="preserve">Louise Gosselin’s </w:t>
      </w:r>
      <w:r w:rsidR="006041FA">
        <w:t xml:space="preserve">section 7 claim </w:t>
      </w:r>
      <w:r w:rsidR="00215729">
        <w:t>in the abstract</w:t>
      </w:r>
      <w:r>
        <w:t xml:space="preserve">, Justices Arbour and L’Heureux-Dubé </w:t>
      </w:r>
      <w:r w:rsidR="00215729">
        <w:t xml:space="preserve">looked to </w:t>
      </w:r>
      <w:r>
        <w:t xml:space="preserve">the actual evidence of the impact of the </w:t>
      </w:r>
      <w:r w:rsidRPr="00C67556">
        <w:rPr>
          <w:i/>
        </w:rPr>
        <w:t>Regulation</w:t>
      </w:r>
      <w:r>
        <w:t xml:space="preserve"> on young welfare recipients’ physical and psychological health and security</w:t>
      </w:r>
      <w:r w:rsidR="00215729">
        <w:t xml:space="preserve">.  </w:t>
      </w:r>
      <w:r w:rsidR="006041FA">
        <w:t>Assess</w:t>
      </w:r>
      <w:r w:rsidR="00215729">
        <w:t xml:space="preserve">ed in light of </w:t>
      </w:r>
      <w:r w:rsidR="007A32E3">
        <w:t xml:space="preserve">the </w:t>
      </w:r>
      <w:r>
        <w:t>real</w:t>
      </w:r>
      <w:r w:rsidR="00215729">
        <w:t>-</w:t>
      </w:r>
      <w:r>
        <w:t>life consequences</w:t>
      </w:r>
      <w:r w:rsidR="007A32E3">
        <w:t xml:space="preserve"> of the </w:t>
      </w:r>
      <w:r w:rsidR="007A32E3" w:rsidRPr="007A32E3">
        <w:rPr>
          <w:i/>
        </w:rPr>
        <w:t>Regulation</w:t>
      </w:r>
      <w:r>
        <w:t xml:space="preserve">, </w:t>
      </w:r>
      <w:r w:rsidR="00215729">
        <w:t xml:space="preserve">rather than </w:t>
      </w:r>
      <w:r w:rsidR="006041FA">
        <w:t xml:space="preserve">against </w:t>
      </w:r>
      <w:r w:rsidR="00215729">
        <w:t xml:space="preserve">a preconceived doctrinal backdrop, </w:t>
      </w:r>
      <w:r>
        <w:t>Justices Arbour and L’Heureux-Dub</w:t>
      </w:r>
      <w:r w:rsidRPr="00C67556">
        <w:t>é</w:t>
      </w:r>
      <w:r>
        <w:t xml:space="preserve"> found it impossible to </w:t>
      </w:r>
      <w:r w:rsidR="00A12DD6">
        <w:t xml:space="preserve">see </w:t>
      </w:r>
      <w:r w:rsidR="006041FA" w:rsidRPr="006041FA">
        <w:t xml:space="preserve">the government’s </w:t>
      </w:r>
      <w:r w:rsidR="00A12DD6">
        <w:t>decision</w:t>
      </w:r>
      <w:r w:rsidR="006041FA" w:rsidRPr="006041FA">
        <w:t xml:space="preserve"> to provide a grossly inadequate level of benefits to those under the age of 30</w:t>
      </w:r>
      <w:r w:rsidR="006041FA">
        <w:t xml:space="preserve"> as anything </w:t>
      </w:r>
      <w:r w:rsidR="007A32E3">
        <w:t xml:space="preserve">but </w:t>
      </w:r>
      <w:r w:rsidR="006041FA">
        <w:t>unconstitutional</w:t>
      </w:r>
      <w:r>
        <w:t>.</w:t>
      </w:r>
    </w:p>
    <w:p w:rsidR="00A2649D" w:rsidRPr="00C96949" w:rsidRDefault="00A2649D" w:rsidP="00A2649D">
      <w:pPr>
        <w:spacing w:line="480" w:lineRule="auto"/>
      </w:pPr>
    </w:p>
    <w:p w:rsidR="00A1677D" w:rsidRPr="00C96949" w:rsidRDefault="00C96949" w:rsidP="00C96949">
      <w:pPr>
        <w:pStyle w:val="Paragraphedeliste"/>
        <w:numPr>
          <w:ilvl w:val="0"/>
          <w:numId w:val="11"/>
        </w:numPr>
        <w:spacing w:line="480" w:lineRule="auto"/>
        <w:rPr>
          <w:b/>
        </w:rPr>
      </w:pPr>
      <w:r w:rsidRPr="00C96949">
        <w:rPr>
          <w:b/>
        </w:rPr>
        <w:t>T</w:t>
      </w:r>
      <w:r w:rsidR="00D51224" w:rsidRPr="00C96949">
        <w:rPr>
          <w:b/>
        </w:rPr>
        <w:t xml:space="preserve">HE LEGACY OF </w:t>
      </w:r>
      <w:r w:rsidR="00D51224" w:rsidRPr="00883407">
        <w:rPr>
          <w:b/>
          <w:i/>
        </w:rPr>
        <w:t>GOSSELIN</w:t>
      </w:r>
    </w:p>
    <w:p w:rsidR="00F6121B" w:rsidRDefault="00315496" w:rsidP="00315496">
      <w:pPr>
        <w:spacing w:line="480" w:lineRule="auto"/>
        <w:ind w:firstLine="720"/>
      </w:pPr>
      <w:r>
        <w:t>In principle, t</w:t>
      </w:r>
      <w:r w:rsidRPr="00315496">
        <w:t xml:space="preserve">he Supreme Court’s </w:t>
      </w:r>
      <w:r w:rsidR="005A6A3E">
        <w:t xml:space="preserve">rejection of </w:t>
      </w:r>
      <w:r w:rsidRPr="00315496">
        <w:t xml:space="preserve">the </w:t>
      </w:r>
      <w:r w:rsidR="005A6A3E">
        <w:t xml:space="preserve">narrow interpretation of section 7 that </w:t>
      </w:r>
      <w:r w:rsidRPr="00315496">
        <w:t xml:space="preserve">prevailed </w:t>
      </w:r>
      <w:r w:rsidR="005A6A3E">
        <w:t xml:space="preserve">prior to </w:t>
      </w:r>
      <w:r w:rsidR="005A6A3E" w:rsidRPr="005A6A3E">
        <w:rPr>
          <w:i/>
        </w:rPr>
        <w:t>Gosselin</w:t>
      </w:r>
      <w:r w:rsidR="005A6A3E">
        <w:t xml:space="preserve"> </w:t>
      </w:r>
      <w:r w:rsidRPr="00315496">
        <w:t xml:space="preserve">was a significant step forward for </w:t>
      </w:r>
      <w:r w:rsidR="005A49CA">
        <w:t xml:space="preserve">the </w:t>
      </w:r>
      <w:r w:rsidRPr="00315496">
        <w:rPr>
          <w:i/>
        </w:rPr>
        <w:t>Charter</w:t>
      </w:r>
      <w:r w:rsidRPr="00315496">
        <w:t xml:space="preserve"> rights</w:t>
      </w:r>
      <w:r w:rsidR="005A49CA">
        <w:t xml:space="preserve"> of people living in poverty</w:t>
      </w:r>
      <w:r w:rsidRPr="00315496">
        <w:t xml:space="preserve">.  </w:t>
      </w:r>
      <w:r>
        <w:t>I</w:t>
      </w:r>
      <w:r w:rsidR="005A6A3E">
        <w:t xml:space="preserve">n </w:t>
      </w:r>
      <w:r w:rsidR="002D2A5F">
        <w:t>reality</w:t>
      </w:r>
      <w:r w:rsidR="005A6A3E">
        <w:t>, i</w:t>
      </w:r>
      <w:r>
        <w:t>n</w:t>
      </w:r>
      <w:r w:rsidR="001D76C9">
        <w:t xml:space="preserve"> the fifteen years since</w:t>
      </w:r>
      <w:r w:rsidR="005A6A3E">
        <w:t xml:space="preserve"> the decision</w:t>
      </w:r>
      <w:r w:rsidR="00704754">
        <w:t xml:space="preserve"> in </w:t>
      </w:r>
      <w:r w:rsidR="00704754" w:rsidRPr="00704754">
        <w:rPr>
          <w:i/>
        </w:rPr>
        <w:t>Gosselin</w:t>
      </w:r>
      <w:r w:rsidR="0069217C">
        <w:t>,</w:t>
      </w:r>
      <w:r w:rsidR="005A6A3E">
        <w:t xml:space="preserve"> </w:t>
      </w:r>
      <w:r w:rsidR="00891C09">
        <w:t>l</w:t>
      </w:r>
      <w:r w:rsidR="00DF2285">
        <w:t xml:space="preserve">ower and appellate courts have invoked the </w:t>
      </w:r>
      <w:r w:rsidR="003963A2">
        <w:t>majority</w:t>
      </w:r>
      <w:r w:rsidR="00DF2285">
        <w:t xml:space="preserve">’s </w:t>
      </w:r>
      <w:r w:rsidR="003963A2">
        <w:t>ruling</w:t>
      </w:r>
      <w:r w:rsidR="002D2A5F">
        <w:t xml:space="preserve"> </w:t>
      </w:r>
      <w:r w:rsidR="00DF2285">
        <w:t xml:space="preserve">to </w:t>
      </w:r>
      <w:r w:rsidR="00DF136D">
        <w:t xml:space="preserve">further buttress </w:t>
      </w:r>
      <w:r w:rsidR="007D681C">
        <w:t xml:space="preserve">the argument that </w:t>
      </w:r>
      <w:r w:rsidR="00DF2285">
        <w:t xml:space="preserve">section 7 </w:t>
      </w:r>
      <w:r w:rsidR="007D681C">
        <w:t xml:space="preserve">does not protect </w:t>
      </w:r>
      <w:r w:rsidR="00DF2285">
        <w:t>socio-economic rights</w:t>
      </w:r>
      <w:r w:rsidR="002D2A5F">
        <w:t xml:space="preserve"> </w:t>
      </w:r>
      <w:r w:rsidR="007D681C">
        <w:t xml:space="preserve">or </w:t>
      </w:r>
      <w:r w:rsidR="00DF2285">
        <w:t xml:space="preserve">require governments to take </w:t>
      </w:r>
      <w:r w:rsidR="00704754">
        <w:t xml:space="preserve">affirmative steps </w:t>
      </w:r>
      <w:r w:rsidR="00DF2285">
        <w:t>to protect life, libe</w:t>
      </w:r>
      <w:r w:rsidR="00082CA4">
        <w:t xml:space="preserve">rty or security of the person. </w:t>
      </w:r>
      <w:r w:rsidR="00BB3861">
        <w:t xml:space="preserve"> </w:t>
      </w:r>
      <w:r w:rsidR="007D681C" w:rsidRPr="007D681C">
        <w:rPr>
          <w:i/>
        </w:rPr>
        <w:t>Charter</w:t>
      </w:r>
      <w:r w:rsidR="007D681C">
        <w:t xml:space="preserve"> claimants in poverty-</w:t>
      </w:r>
      <w:r w:rsidR="006C7DF4">
        <w:t xml:space="preserve">related </w:t>
      </w:r>
      <w:r w:rsidR="00530D89">
        <w:t xml:space="preserve">cases have continued to </w:t>
      </w:r>
      <w:r w:rsidR="002659FE">
        <w:t xml:space="preserve">confront </w:t>
      </w:r>
      <w:bookmarkStart w:id="13" w:name="_Hlk504664814"/>
      <w:r w:rsidR="00445EFB">
        <w:t xml:space="preserve">adverse stereotypes </w:t>
      </w:r>
      <w:bookmarkEnd w:id="13"/>
      <w:r w:rsidR="00445EFB">
        <w:t xml:space="preserve">and </w:t>
      </w:r>
      <w:r w:rsidR="007D681C">
        <w:t xml:space="preserve">more onerous </w:t>
      </w:r>
      <w:r w:rsidR="00530D89">
        <w:t xml:space="preserve">evidentiary </w:t>
      </w:r>
      <w:r w:rsidR="007D681C">
        <w:t xml:space="preserve">burdens than </w:t>
      </w:r>
      <w:r w:rsidR="002D2A5F">
        <w:t>government defendants</w:t>
      </w:r>
      <w:r w:rsidR="002659FE">
        <w:t>.</w:t>
      </w:r>
      <w:r w:rsidR="00D12376" w:rsidRPr="00D038A6">
        <w:rPr>
          <w:vertAlign w:val="superscript"/>
        </w:rPr>
        <w:footnoteReference w:id="155"/>
      </w:r>
      <w:r w:rsidR="002659FE">
        <w:t xml:space="preserve">  In many cases, the </w:t>
      </w:r>
      <w:r w:rsidR="00BA7D69">
        <w:t xml:space="preserve">serious </w:t>
      </w:r>
      <w:r w:rsidR="002659FE">
        <w:t xml:space="preserve">harms to life and security of the person they have </w:t>
      </w:r>
      <w:r w:rsidR="00BA7D69">
        <w:t xml:space="preserve">painstakingly </w:t>
      </w:r>
      <w:r w:rsidR="002659FE">
        <w:t>documented</w:t>
      </w:r>
      <w:r w:rsidR="0083102D">
        <w:t xml:space="preserve"> </w:t>
      </w:r>
      <w:r w:rsidR="00BA7D69">
        <w:t>in their own testimony</w:t>
      </w:r>
      <w:r w:rsidR="0083102D">
        <w:t>,</w:t>
      </w:r>
      <w:r w:rsidR="00BA7D69">
        <w:t xml:space="preserve"> and through </w:t>
      </w:r>
      <w:r w:rsidR="002659FE">
        <w:t>expert evidence</w:t>
      </w:r>
      <w:r w:rsidR="00BA7D69">
        <w:t>,</w:t>
      </w:r>
      <w:r w:rsidR="002659FE">
        <w:t xml:space="preserve"> </w:t>
      </w:r>
      <w:r w:rsidR="00D12376">
        <w:t>have been discounted or even</w:t>
      </w:r>
      <w:r w:rsidR="002659FE">
        <w:t xml:space="preserve"> ignored</w:t>
      </w:r>
      <w:r w:rsidR="00424CAE">
        <w:t>.</w:t>
      </w:r>
      <w:r w:rsidR="00424CAE" w:rsidRPr="00D038A6">
        <w:rPr>
          <w:vertAlign w:val="superscript"/>
        </w:rPr>
        <w:footnoteReference w:id="156"/>
      </w:r>
      <w:r w:rsidR="00530D89">
        <w:t xml:space="preserve"> </w:t>
      </w:r>
      <w:r w:rsidR="002D2A5F">
        <w:t xml:space="preserve">And, </w:t>
      </w:r>
      <w:r w:rsidR="007D681C">
        <w:t xml:space="preserve">like </w:t>
      </w:r>
      <w:r w:rsidR="00EC4209">
        <w:t xml:space="preserve">in </w:t>
      </w:r>
      <w:r w:rsidR="0069217C" w:rsidRPr="00EC4209">
        <w:rPr>
          <w:i/>
        </w:rPr>
        <w:t>Gosseli</w:t>
      </w:r>
      <w:r w:rsidR="00EC4209" w:rsidRPr="00EC4209">
        <w:rPr>
          <w:i/>
        </w:rPr>
        <w:t>n</w:t>
      </w:r>
      <w:r w:rsidR="0069217C">
        <w:t>,</w:t>
      </w:r>
      <w:r w:rsidR="002D2A5F">
        <w:t xml:space="preserve"> </w:t>
      </w:r>
      <w:r w:rsidR="007B7178">
        <w:t>the</w:t>
      </w:r>
      <w:r w:rsidR="007D681C">
        <w:t xml:space="preserve"> section 7 </w:t>
      </w:r>
      <w:r w:rsidR="00D16D76">
        <w:t>claim</w:t>
      </w:r>
      <w:r w:rsidR="000C40F6">
        <w:t>s</w:t>
      </w:r>
      <w:r w:rsidR="002D2A5F">
        <w:t xml:space="preserve"> </w:t>
      </w:r>
      <w:r w:rsidR="007B7178">
        <w:t xml:space="preserve">of people living in poverty </w:t>
      </w:r>
      <w:r w:rsidR="007D681C">
        <w:t xml:space="preserve">continue to be reframed </w:t>
      </w:r>
      <w:r w:rsidR="0069217C">
        <w:t xml:space="preserve">in a way that reflects and reinforces the discriminatory </w:t>
      </w:r>
      <w:r w:rsidR="002F34F0">
        <w:t xml:space="preserve">and outmoded </w:t>
      </w:r>
      <w:r w:rsidR="007B7178">
        <w:t xml:space="preserve">positive </w:t>
      </w:r>
      <w:r w:rsidR="007B7178" w:rsidRPr="007B7178">
        <w:rPr>
          <w:i/>
        </w:rPr>
        <w:t>versus</w:t>
      </w:r>
      <w:r w:rsidR="007B7178">
        <w:t xml:space="preserve"> negative </w:t>
      </w:r>
      <w:r w:rsidR="0069217C">
        <w:t>rights paradigm th</w:t>
      </w:r>
      <w:r w:rsidR="002F34F0">
        <w:t>at th</w:t>
      </w:r>
      <w:r w:rsidR="0069217C">
        <w:t xml:space="preserve">e </w:t>
      </w:r>
      <w:r w:rsidR="0069217C" w:rsidRPr="0069217C">
        <w:rPr>
          <w:i/>
        </w:rPr>
        <w:t>Charter</w:t>
      </w:r>
      <w:r w:rsidR="0069217C">
        <w:t xml:space="preserve"> was expected to </w:t>
      </w:r>
      <w:r w:rsidR="00EC4209">
        <w:t>overcom</w:t>
      </w:r>
      <w:r w:rsidR="0069217C">
        <w:t>e</w:t>
      </w:r>
      <w:r w:rsidR="000C40F6">
        <w:t>.  Instead of</w:t>
      </w:r>
      <w:r w:rsidR="00D16D76">
        <w:t xml:space="preserve"> examining the </w:t>
      </w:r>
      <w:r w:rsidR="007D681C">
        <w:t xml:space="preserve">actual </w:t>
      </w:r>
      <w:r w:rsidR="00D16D76">
        <w:t xml:space="preserve">impact </w:t>
      </w:r>
      <w:r w:rsidR="007D681C">
        <w:t>o</w:t>
      </w:r>
      <w:r w:rsidR="007B7178">
        <w:t xml:space="preserve">f governments’ actions and inaction </w:t>
      </w:r>
      <w:r w:rsidR="007D681C">
        <w:t>on claimants’</w:t>
      </w:r>
      <w:r w:rsidR="000C40F6">
        <w:t xml:space="preserve"> </w:t>
      </w:r>
      <w:r w:rsidR="00C96949">
        <w:t>lives</w:t>
      </w:r>
      <w:r w:rsidR="00997F0D">
        <w:t xml:space="preserve"> and </w:t>
      </w:r>
      <w:r w:rsidR="000C40F6">
        <w:t>physical</w:t>
      </w:r>
      <w:r w:rsidR="007719AF">
        <w:t xml:space="preserve"> and psychological </w:t>
      </w:r>
      <w:r w:rsidR="00997F0D">
        <w:t xml:space="preserve">health and </w:t>
      </w:r>
      <w:r w:rsidR="0069217C">
        <w:t>security</w:t>
      </w:r>
      <w:r w:rsidR="00997F0D">
        <w:t xml:space="preserve">, </w:t>
      </w:r>
      <w:r w:rsidR="000C40F6">
        <w:t xml:space="preserve">lower courts are, like in </w:t>
      </w:r>
      <w:r w:rsidR="000C40F6" w:rsidRPr="00C609AD">
        <w:rPr>
          <w:i/>
        </w:rPr>
        <w:t>Gosselin</w:t>
      </w:r>
      <w:r w:rsidR="000C40F6">
        <w:t xml:space="preserve">, </w:t>
      </w:r>
      <w:r w:rsidR="007D681C">
        <w:t xml:space="preserve">characterizing </w:t>
      </w:r>
      <w:r w:rsidR="00A37F01">
        <w:t xml:space="preserve">the </w:t>
      </w:r>
      <w:r w:rsidR="00A37F01" w:rsidRPr="00A37F01">
        <w:rPr>
          <w:i/>
        </w:rPr>
        <w:t>Charter</w:t>
      </w:r>
      <w:r w:rsidR="00A37F01">
        <w:t xml:space="preserve"> </w:t>
      </w:r>
      <w:r w:rsidR="00C96949">
        <w:t xml:space="preserve">claims </w:t>
      </w:r>
      <w:r w:rsidR="00A37F01">
        <w:t xml:space="preserve">of </w:t>
      </w:r>
      <w:r w:rsidR="007D681C">
        <w:t xml:space="preserve">people living in poverty </w:t>
      </w:r>
      <w:r w:rsidR="000C40F6">
        <w:t>as broad</w:t>
      </w:r>
      <w:r w:rsidR="00FB21AF">
        <w:t xml:space="preserve"> </w:t>
      </w:r>
      <w:r w:rsidR="000C40F6">
        <w:t xml:space="preserve">and presumptively non-justiciable </w:t>
      </w:r>
      <w:r w:rsidR="007B7178">
        <w:t xml:space="preserve">demands for free standing rights to </w:t>
      </w:r>
      <w:r w:rsidR="007719AF">
        <w:t>welfare</w:t>
      </w:r>
      <w:r w:rsidR="007B7178">
        <w:t xml:space="preserve">, </w:t>
      </w:r>
      <w:r w:rsidR="007719AF">
        <w:t>housing</w:t>
      </w:r>
      <w:r w:rsidR="007B7178">
        <w:t xml:space="preserve"> or health care</w:t>
      </w:r>
      <w:r w:rsidR="00997F0D">
        <w:t>,</w:t>
      </w:r>
      <w:r w:rsidR="00C96949">
        <w:t xml:space="preserve"> and </w:t>
      </w:r>
      <w:r w:rsidR="00F6121B">
        <w:t>dismissing them on that basis.</w:t>
      </w:r>
      <w:r w:rsidRPr="009A5AAB">
        <w:rPr>
          <w:vertAlign w:val="superscript"/>
        </w:rPr>
        <w:footnoteReference w:id="157"/>
      </w:r>
      <w:r w:rsidR="00F6121B">
        <w:t xml:space="preserve">  </w:t>
      </w:r>
    </w:p>
    <w:p w:rsidR="00883407" w:rsidRDefault="00883407" w:rsidP="00883407">
      <w:pPr>
        <w:spacing w:line="480" w:lineRule="auto"/>
      </w:pPr>
    </w:p>
    <w:p w:rsidR="00883407" w:rsidRPr="00883407" w:rsidRDefault="00883407" w:rsidP="00883407">
      <w:pPr>
        <w:pStyle w:val="Paragraphedeliste"/>
        <w:numPr>
          <w:ilvl w:val="0"/>
          <w:numId w:val="21"/>
        </w:numPr>
        <w:spacing w:line="480" w:lineRule="auto"/>
        <w:rPr>
          <w:b/>
        </w:rPr>
      </w:pPr>
      <w:r w:rsidRPr="00883407">
        <w:rPr>
          <w:b/>
        </w:rPr>
        <w:t>The Tanudjaja Case</w:t>
      </w:r>
    </w:p>
    <w:p w:rsidR="005A68BA" w:rsidRDefault="00BB3861" w:rsidP="005B6990">
      <w:pPr>
        <w:spacing w:line="480" w:lineRule="auto"/>
        <w:ind w:firstLine="720"/>
      </w:pPr>
      <w:r w:rsidRPr="00C2259B">
        <w:t xml:space="preserve">The decision in </w:t>
      </w:r>
      <w:r w:rsidRPr="008B7312">
        <w:rPr>
          <w:i/>
        </w:rPr>
        <w:t>Tanudjaj</w:t>
      </w:r>
      <w:r>
        <w:rPr>
          <w:i/>
        </w:rPr>
        <w:t>a v Canada (Attorney General)</w:t>
      </w:r>
      <w:r w:rsidRPr="005104BC">
        <w:rPr>
          <w:vertAlign w:val="superscript"/>
        </w:rPr>
        <w:footnoteReference w:id="158"/>
      </w:r>
      <w:r>
        <w:rPr>
          <w:i/>
        </w:rPr>
        <w:t xml:space="preserve"> </w:t>
      </w:r>
      <w:r w:rsidRPr="00C2259B">
        <w:t xml:space="preserve">provides the clearest illustration of </w:t>
      </w:r>
      <w:r w:rsidRPr="008B7312">
        <w:rPr>
          <w:i/>
        </w:rPr>
        <w:t>Gosselin</w:t>
      </w:r>
      <w:r w:rsidRPr="00C2259B">
        <w:t>’s legacy in this regard.</w:t>
      </w:r>
      <w:r w:rsidR="002B6AB2">
        <w:t xml:space="preserve">  </w:t>
      </w:r>
      <w:r w:rsidR="00AE1A17">
        <w:t xml:space="preserve">The </w:t>
      </w:r>
      <w:r w:rsidR="003947F6">
        <w:t>A</w:t>
      </w:r>
      <w:r w:rsidR="000F4A33">
        <w:t>pplicant</w:t>
      </w:r>
      <w:r w:rsidR="00AE1A17">
        <w:t xml:space="preserve">s in </w:t>
      </w:r>
      <w:r w:rsidR="00AE1A17" w:rsidRPr="000F4A33">
        <w:rPr>
          <w:i/>
        </w:rPr>
        <w:t>Tanudjaja</w:t>
      </w:r>
      <w:r w:rsidR="00AE1A17">
        <w:t xml:space="preserve"> included </w:t>
      </w:r>
      <w:r w:rsidR="000F4A33">
        <w:t>the Centre for Eq</w:t>
      </w:r>
      <w:r w:rsidR="000F5A2C">
        <w:t>uality Rights in Accommodation</w:t>
      </w:r>
      <w:r w:rsidR="005B6990">
        <w:t>,</w:t>
      </w:r>
      <w:r w:rsidR="00D172A4" w:rsidRPr="00D038A6">
        <w:rPr>
          <w:vertAlign w:val="superscript"/>
        </w:rPr>
        <w:footnoteReference w:id="159"/>
      </w:r>
      <w:r w:rsidR="000F4A33">
        <w:t xml:space="preserve"> </w:t>
      </w:r>
      <w:r w:rsidR="005B6990">
        <w:t>Jennifer Tanudjaja, and three other</w:t>
      </w:r>
      <w:r w:rsidR="001262CC">
        <w:t xml:space="preserve"> </w:t>
      </w:r>
      <w:r w:rsidR="007B7178">
        <w:t>individual</w:t>
      </w:r>
      <w:r w:rsidR="000F4A33">
        <w:t>s</w:t>
      </w:r>
      <w:r w:rsidR="00C44066">
        <w:t xml:space="preserve"> who were homeless or had experienced homelessness</w:t>
      </w:r>
      <w:r w:rsidR="00A14592">
        <w:t>.</w:t>
      </w:r>
      <w:r w:rsidR="003947F6" w:rsidRPr="005104BC">
        <w:rPr>
          <w:vertAlign w:val="superscript"/>
        </w:rPr>
        <w:footnoteReference w:id="160"/>
      </w:r>
      <w:r w:rsidR="000F5A2C">
        <w:t xml:space="preserve">  </w:t>
      </w:r>
      <w:r w:rsidR="007B7178">
        <w:t>The Application</w:t>
      </w:r>
      <w:r w:rsidR="001262CC">
        <w:t xml:space="preserve"> relied on </w:t>
      </w:r>
      <w:r w:rsidR="005B6990">
        <w:t>an extensive evidentiary record</w:t>
      </w:r>
      <w:r w:rsidR="001262CC">
        <w:t xml:space="preserve"> compiled o</w:t>
      </w:r>
      <w:r w:rsidR="00A24E04">
        <w:t xml:space="preserve">ver a </w:t>
      </w:r>
      <w:r w:rsidR="00D41F30">
        <w:t>t</w:t>
      </w:r>
      <w:r w:rsidR="001262CC">
        <w:t>wo</w:t>
      </w:r>
      <w:r w:rsidR="00AB4FC3">
        <w:t>-</w:t>
      </w:r>
      <w:r w:rsidR="00A117C1">
        <w:t>year period</w:t>
      </w:r>
      <w:r w:rsidR="00776E66">
        <w:t xml:space="preserve"> </w:t>
      </w:r>
      <w:r w:rsidR="00A24E04">
        <w:t xml:space="preserve">showing that the </w:t>
      </w:r>
      <w:r w:rsidR="00985B8D">
        <w:t xml:space="preserve">cumulative effect of the </w:t>
      </w:r>
      <w:r w:rsidR="00A24E04">
        <w:t xml:space="preserve">Canadian </w:t>
      </w:r>
      <w:r w:rsidR="00985B8D">
        <w:t>and Ontario governments’</w:t>
      </w:r>
      <w:r w:rsidR="00A24E04">
        <w:t xml:space="preserve"> affordable housing, income support and accessible housing policies </w:t>
      </w:r>
      <w:r w:rsidR="00A117C1">
        <w:t xml:space="preserve">was </w:t>
      </w:r>
      <w:r w:rsidR="00AE0326">
        <w:t xml:space="preserve">widespread </w:t>
      </w:r>
      <w:r w:rsidR="00311959">
        <w:t>homelessness</w:t>
      </w:r>
      <w:r w:rsidR="005A68BA">
        <w:t>,</w:t>
      </w:r>
      <w:r w:rsidR="00311959">
        <w:t xml:space="preserve"> </w:t>
      </w:r>
      <w:r w:rsidR="00A117C1">
        <w:t>disproportionate</w:t>
      </w:r>
      <w:r w:rsidR="00311959">
        <w:t>ly</w:t>
      </w:r>
      <w:r w:rsidR="00A117C1">
        <w:t xml:space="preserve"> affect</w:t>
      </w:r>
      <w:r w:rsidR="005A68BA">
        <w:t>ing</w:t>
      </w:r>
      <w:r w:rsidR="00A117C1">
        <w:t xml:space="preserve"> Indigenous </w:t>
      </w:r>
      <w:r w:rsidR="00571386">
        <w:t xml:space="preserve">and racialized </w:t>
      </w:r>
      <w:r w:rsidR="00A117C1">
        <w:t xml:space="preserve">people, </w:t>
      </w:r>
      <w:r w:rsidR="00571386">
        <w:t>people</w:t>
      </w:r>
      <w:r w:rsidR="00311959">
        <w:t xml:space="preserve"> with </w:t>
      </w:r>
      <w:r w:rsidR="00A117C1">
        <w:t>disab</w:t>
      </w:r>
      <w:r w:rsidR="00311959">
        <w:t>ilities</w:t>
      </w:r>
      <w:r w:rsidR="00A117C1">
        <w:t>, new</w:t>
      </w:r>
      <w:r w:rsidR="00311959">
        <w:t>comer</w:t>
      </w:r>
      <w:r w:rsidR="00A117C1">
        <w:t>s, seniors, social assistance recipients, and youth.</w:t>
      </w:r>
      <w:r w:rsidR="00311959">
        <w:t xml:space="preserve">  </w:t>
      </w:r>
      <w:r w:rsidR="00AB4FC3">
        <w:t>Th</w:t>
      </w:r>
      <w:r w:rsidR="005A68BA">
        <w:t>e</w:t>
      </w:r>
      <w:r w:rsidR="00AB4FC3">
        <w:t xml:space="preserve"> evidence </w:t>
      </w:r>
      <w:r w:rsidR="005A68BA">
        <w:t xml:space="preserve">in </w:t>
      </w:r>
      <w:r w:rsidR="005A68BA" w:rsidRPr="005A68BA">
        <w:rPr>
          <w:i/>
        </w:rPr>
        <w:t>Tanudjaja</w:t>
      </w:r>
      <w:r w:rsidR="005A68BA">
        <w:t xml:space="preserve"> </w:t>
      </w:r>
      <w:r w:rsidR="00AB4FC3">
        <w:t xml:space="preserve">also documented the severe </w:t>
      </w:r>
      <w:r w:rsidR="00CC502B">
        <w:t xml:space="preserve">physical, psychological and social </w:t>
      </w:r>
      <w:r w:rsidR="00AB4FC3">
        <w:t xml:space="preserve">consequences of homelessness </w:t>
      </w:r>
      <w:r w:rsidR="00A37F01">
        <w:t xml:space="preserve">and housing insecurity </w:t>
      </w:r>
      <w:r w:rsidR="00AB4FC3">
        <w:t>for those affected.</w:t>
      </w:r>
      <w:r w:rsidR="001C6A12" w:rsidRPr="009A5AAB">
        <w:rPr>
          <w:vertAlign w:val="superscript"/>
        </w:rPr>
        <w:footnoteReference w:id="161"/>
      </w:r>
      <w:r w:rsidR="00AB4FC3">
        <w:t xml:space="preserve"> </w:t>
      </w:r>
    </w:p>
    <w:p w:rsidR="003A2097" w:rsidRDefault="00D263C2" w:rsidP="004B7E2C">
      <w:pPr>
        <w:spacing w:line="480" w:lineRule="auto"/>
        <w:ind w:firstLine="720"/>
      </w:pPr>
      <w:r>
        <w:t>Based on that evidence,</w:t>
      </w:r>
      <w:r w:rsidR="00FE7E7F">
        <w:t xml:space="preserve"> </w:t>
      </w:r>
      <w:r w:rsidR="007B7178">
        <w:t xml:space="preserve">in May 2010, </w:t>
      </w:r>
      <w:r w:rsidR="00AB4FC3">
        <w:t xml:space="preserve">the </w:t>
      </w:r>
      <w:r w:rsidR="00311959">
        <w:t>Applicants</w:t>
      </w:r>
      <w:r w:rsidR="00A24E04">
        <w:t xml:space="preserve"> </w:t>
      </w:r>
      <w:r>
        <w:t xml:space="preserve">filed a Notice of Application </w:t>
      </w:r>
      <w:r w:rsidR="00394173">
        <w:t xml:space="preserve">in </w:t>
      </w:r>
      <w:r w:rsidR="005A68BA">
        <w:t xml:space="preserve">the Ontario Superior Court, </w:t>
      </w:r>
      <w:r w:rsidR="00A24E04">
        <w:t>argu</w:t>
      </w:r>
      <w:r w:rsidR="005A68BA">
        <w:t>ing</w:t>
      </w:r>
      <w:r w:rsidR="00A24E04">
        <w:t xml:space="preserve"> that the </w:t>
      </w:r>
      <w:r w:rsidR="005A68BA">
        <w:t xml:space="preserve">Ontario and Canadian </w:t>
      </w:r>
      <w:r w:rsidR="00A24E04">
        <w:t xml:space="preserve">governments’ failure to implement strategies to reduce and </w:t>
      </w:r>
      <w:r w:rsidR="00311959">
        <w:t>eliminate homelessness</w:t>
      </w:r>
      <w:r w:rsidR="00A24E04">
        <w:t xml:space="preserve"> violated</w:t>
      </w:r>
      <w:r w:rsidR="00311959">
        <w:t xml:space="preserve"> sections</w:t>
      </w:r>
      <w:r w:rsidR="005A68BA">
        <w:t xml:space="preserve"> 7 and 15 of the </w:t>
      </w:r>
      <w:r w:rsidR="005A68BA" w:rsidRPr="005A68BA">
        <w:rPr>
          <w:i/>
        </w:rPr>
        <w:t>Charter</w:t>
      </w:r>
      <w:r w:rsidR="005A68BA">
        <w:t xml:space="preserve"> and could not be justified under section 1.</w:t>
      </w:r>
      <w:r w:rsidR="00D41F30">
        <w:t xml:space="preserve">  The Applicants</w:t>
      </w:r>
      <w:r w:rsidR="00AB4FC3">
        <w:t xml:space="preserve"> requested a declaration to t</w:t>
      </w:r>
      <w:r w:rsidR="000A08C1">
        <w:t>hat effect, and they asked the C</w:t>
      </w:r>
      <w:r w:rsidR="00AB4FC3">
        <w:t xml:space="preserve">ourt to order the </w:t>
      </w:r>
      <w:r w:rsidR="0083102D">
        <w:t xml:space="preserve">federal and Ontario </w:t>
      </w:r>
      <w:r w:rsidR="00311959">
        <w:t xml:space="preserve">governments </w:t>
      </w:r>
      <w:r w:rsidR="00AB4FC3">
        <w:t xml:space="preserve">to </w:t>
      </w:r>
      <w:r w:rsidR="00311959">
        <w:t xml:space="preserve">design and </w:t>
      </w:r>
      <w:r w:rsidR="00A24E04">
        <w:t>implement national and provincial strategies to reduce and eliminate</w:t>
      </w:r>
      <w:r w:rsidR="00311959">
        <w:t xml:space="preserve"> homelessness</w:t>
      </w:r>
      <w:r w:rsidR="00C3668A">
        <w:t xml:space="preserve"> </w:t>
      </w:r>
      <w:r w:rsidR="00AB4FC3">
        <w:t xml:space="preserve">as </w:t>
      </w:r>
      <w:r w:rsidR="005A68BA">
        <w:t>an</w:t>
      </w:r>
      <w:r w:rsidR="00AB4FC3">
        <w:t xml:space="preserve"> appropriate remedy</w:t>
      </w:r>
      <w:r w:rsidR="00F70E5D">
        <w:t xml:space="preserve"> under section 24(1)</w:t>
      </w:r>
      <w:r w:rsidR="00D41F30">
        <w:t xml:space="preserve"> of the </w:t>
      </w:r>
      <w:r w:rsidR="00D41F30" w:rsidRPr="00D41F30">
        <w:rPr>
          <w:i/>
        </w:rPr>
        <w:t>Charter</w:t>
      </w:r>
      <w:r w:rsidR="00A24E04">
        <w:t>.</w:t>
      </w:r>
      <w:r w:rsidR="00A14592" w:rsidRPr="009A5AAB">
        <w:rPr>
          <w:vertAlign w:val="superscript"/>
        </w:rPr>
        <w:footnoteReference w:id="162"/>
      </w:r>
      <w:r w:rsidR="005A68BA">
        <w:t xml:space="preserve">  </w:t>
      </w:r>
      <w:r w:rsidR="00B4136A">
        <w:t>With</w:t>
      </w:r>
      <w:r w:rsidR="005A68BA">
        <w:t xml:space="preserve"> regards to section 7 in particular,</w:t>
      </w:r>
      <w:r w:rsidR="00B4136A" w:rsidRPr="00B4136A">
        <w:t xml:space="preserve"> </w:t>
      </w:r>
      <w:r w:rsidR="00B4136A">
        <w:t xml:space="preserve">the </w:t>
      </w:r>
      <w:r w:rsidR="00B4136A" w:rsidRPr="00B4136A">
        <w:rPr>
          <w:i/>
        </w:rPr>
        <w:t>Tanu</w:t>
      </w:r>
      <w:r w:rsidR="00C34B66">
        <w:rPr>
          <w:i/>
        </w:rPr>
        <w:t>d</w:t>
      </w:r>
      <w:r w:rsidR="00B4136A" w:rsidRPr="00B4136A">
        <w:rPr>
          <w:i/>
        </w:rPr>
        <w:t>jaja</w:t>
      </w:r>
      <w:r w:rsidR="007B7178">
        <w:t xml:space="preserve"> Application</w:t>
      </w:r>
      <w:r w:rsidR="00B4136A">
        <w:t xml:space="preserve"> did not contend that the provision of h</w:t>
      </w:r>
      <w:r w:rsidR="00F70E5D">
        <w:t>ousing or housing subsidies was</w:t>
      </w:r>
      <w:r w:rsidR="00B4136A">
        <w:t xml:space="preserve"> </w:t>
      </w:r>
      <w:r w:rsidR="0027110F">
        <w:t xml:space="preserve">constitutionally </w:t>
      </w:r>
      <w:r w:rsidR="00B4136A">
        <w:t>guaranteed</w:t>
      </w:r>
      <w:r w:rsidR="00571386">
        <w:t xml:space="preserve">.  Nor did the Applicants </w:t>
      </w:r>
      <w:r w:rsidR="00C3668A">
        <w:t xml:space="preserve">demand </w:t>
      </w:r>
      <w:r w:rsidR="0083102D">
        <w:t xml:space="preserve">the </w:t>
      </w:r>
      <w:r w:rsidR="004B7E2C">
        <w:t>governments be ordered to provide a particular “economic” benefit</w:t>
      </w:r>
      <w:r w:rsidR="00B4136A">
        <w:t>.</w:t>
      </w:r>
      <w:r w:rsidR="003A2097">
        <w:t xml:space="preserve">  </w:t>
      </w:r>
      <w:r w:rsidR="00C11EA9" w:rsidRPr="00C11EA9">
        <w:t>Rat</w:t>
      </w:r>
      <w:r w:rsidR="00C11EA9">
        <w:t>her the</w:t>
      </w:r>
      <w:r w:rsidR="00571386">
        <w:t>y</w:t>
      </w:r>
      <w:r w:rsidR="00C11EA9">
        <w:t xml:space="preserve"> argued that </w:t>
      </w:r>
      <w:r w:rsidR="00F25E93">
        <w:t xml:space="preserve">Ontario and federal government </w:t>
      </w:r>
      <w:r w:rsidR="00C11EA9" w:rsidRPr="00C11EA9">
        <w:t xml:space="preserve">policies and decisions had created and sustained conditions of homelessness </w:t>
      </w:r>
      <w:r w:rsidR="00C11EA9">
        <w:t>and inadequate housing</w:t>
      </w:r>
      <w:r w:rsidR="00F25E93">
        <w:t>,</w:t>
      </w:r>
      <w:r w:rsidR="00C11EA9">
        <w:t xml:space="preserve"> and that </w:t>
      </w:r>
      <w:r w:rsidR="00F25E93">
        <w:t xml:space="preserve">both governments </w:t>
      </w:r>
      <w:r w:rsidR="00C11EA9" w:rsidRPr="00C11EA9">
        <w:t xml:space="preserve">had consistently refused to implement a coherent strategy to </w:t>
      </w:r>
      <w:r w:rsidR="007B7178">
        <w:t>address</w:t>
      </w:r>
      <w:r w:rsidR="00F25E93">
        <w:t xml:space="preserve"> this situation</w:t>
      </w:r>
      <w:r w:rsidR="007B7178">
        <w:t xml:space="preserve">.  </w:t>
      </w:r>
      <w:r w:rsidR="00F25E93">
        <w:t>The Applicants alleged that the</w:t>
      </w:r>
      <w:r w:rsidR="00C11EA9" w:rsidRPr="00C11EA9">
        <w:t xml:space="preserve"> government</w:t>
      </w:r>
      <w:r w:rsidR="00F25E93">
        <w:t>s’</w:t>
      </w:r>
      <w:r w:rsidR="00C11EA9" w:rsidRPr="00C11EA9">
        <w:t xml:space="preserve"> action</w:t>
      </w:r>
      <w:r w:rsidR="00F25E93">
        <w:t>s</w:t>
      </w:r>
      <w:r w:rsidR="00C11EA9" w:rsidRPr="00C11EA9">
        <w:t xml:space="preserve"> and inac</w:t>
      </w:r>
      <w:r w:rsidR="00C11EA9">
        <w:t>tion</w:t>
      </w:r>
      <w:r w:rsidR="00C11EA9" w:rsidRPr="00C11EA9">
        <w:t xml:space="preserve"> </w:t>
      </w:r>
      <w:r w:rsidR="00571386">
        <w:t xml:space="preserve">together resulted in </w:t>
      </w:r>
      <w:r w:rsidR="00C11EA9" w:rsidRPr="00C11EA9">
        <w:t>serious harm</w:t>
      </w:r>
      <w:r w:rsidR="00C11EA9">
        <w:t xml:space="preserve"> </w:t>
      </w:r>
      <w:r w:rsidR="005A68BA">
        <w:t>to life and to security of the person</w:t>
      </w:r>
      <w:r w:rsidR="0083102D">
        <w:t xml:space="preserve"> of those directly affected</w:t>
      </w:r>
      <w:r w:rsidR="005A68BA">
        <w:t>, including physical and mental illness, shortened lives and even death</w:t>
      </w:r>
      <w:r w:rsidR="00B4136A">
        <w:t xml:space="preserve"> –</w:t>
      </w:r>
      <w:r w:rsidR="000A08C1">
        <w:t xml:space="preserve"> </w:t>
      </w:r>
      <w:r w:rsidR="00B4136A">
        <w:t xml:space="preserve">interests the courts had </w:t>
      </w:r>
      <w:r w:rsidR="0027110F">
        <w:t xml:space="preserve">previously </w:t>
      </w:r>
      <w:r w:rsidR="00B4136A">
        <w:t xml:space="preserve">recognized as falling </w:t>
      </w:r>
      <w:r w:rsidR="00E67A33">
        <w:t xml:space="preserve">directly </w:t>
      </w:r>
      <w:r w:rsidR="00B4136A">
        <w:t>within the ambit of section 7</w:t>
      </w:r>
      <w:r w:rsidR="005A68BA">
        <w:t>.</w:t>
      </w:r>
      <w:r w:rsidR="00A14592" w:rsidRPr="005104BC">
        <w:rPr>
          <w:vertAlign w:val="superscript"/>
        </w:rPr>
        <w:footnoteReference w:id="163"/>
      </w:r>
      <w:r w:rsidR="005A68BA">
        <w:t xml:space="preserve">  </w:t>
      </w:r>
    </w:p>
    <w:p w:rsidR="00FB29AE" w:rsidRDefault="000E28CE" w:rsidP="00FB29AE">
      <w:pPr>
        <w:spacing w:line="480" w:lineRule="auto"/>
        <w:ind w:firstLine="720"/>
      </w:pPr>
      <w:r>
        <w:t>In May, 2012, t</w:t>
      </w:r>
      <w:r w:rsidR="001E6617">
        <w:t xml:space="preserve">wo years after the </w:t>
      </w:r>
      <w:r>
        <w:t>Notice of Application was filed and six months after the full record was served,</w:t>
      </w:r>
      <w:r w:rsidR="000A08C1" w:rsidRPr="005104BC">
        <w:rPr>
          <w:vertAlign w:val="superscript"/>
        </w:rPr>
        <w:footnoteReference w:id="164"/>
      </w:r>
      <w:r>
        <w:t xml:space="preserve"> </w:t>
      </w:r>
      <w:r w:rsidR="001E6617">
        <w:t xml:space="preserve">the Ontario and Canadian governments </w:t>
      </w:r>
      <w:r w:rsidR="000038E1">
        <w:t xml:space="preserve">brought a </w:t>
      </w:r>
      <w:r w:rsidR="00394173">
        <w:t xml:space="preserve">motion to strike the </w:t>
      </w:r>
      <w:r w:rsidR="00394173" w:rsidRPr="00F70E5D">
        <w:rPr>
          <w:i/>
        </w:rPr>
        <w:t>Tanudjaja</w:t>
      </w:r>
      <w:r w:rsidR="00394173">
        <w:t xml:space="preserve"> </w:t>
      </w:r>
      <w:r w:rsidR="001E6617">
        <w:t>claim</w:t>
      </w:r>
      <w:r w:rsidR="000A08C1">
        <w:t xml:space="preserve"> for disclosing no reasonable cause of action</w:t>
      </w:r>
      <w:r w:rsidR="001E6617">
        <w:t>.</w:t>
      </w:r>
      <w:r w:rsidR="002B6F11" w:rsidRPr="005104BC">
        <w:rPr>
          <w:vertAlign w:val="superscript"/>
        </w:rPr>
        <w:footnoteReference w:id="165"/>
      </w:r>
      <w:r>
        <w:t xml:space="preserve">  </w:t>
      </w:r>
      <w:r w:rsidR="00C44066">
        <w:t>In support of th</w:t>
      </w:r>
      <w:r w:rsidR="00161512">
        <w:t>at</w:t>
      </w:r>
      <w:r w:rsidR="00C44066">
        <w:t xml:space="preserve"> motion, the </w:t>
      </w:r>
      <w:r w:rsidR="00EC4209">
        <w:t xml:space="preserve">Attorney General of </w:t>
      </w:r>
      <w:r w:rsidR="00C44066">
        <w:t xml:space="preserve">Ontario </w:t>
      </w:r>
      <w:r w:rsidR="00F85BBB">
        <w:t xml:space="preserve">argued </w:t>
      </w:r>
      <w:r w:rsidR="00FB29AE">
        <w:t>that t</w:t>
      </w:r>
      <w:r w:rsidR="00D41F30">
        <w:t>he Applic</w:t>
      </w:r>
      <w:r w:rsidR="007B7178">
        <w:t>ation</w:t>
      </w:r>
      <w:r w:rsidR="00F85BBB">
        <w:t xml:space="preserve"> was “in effect an effort to constitutionalize a right to housing</w:t>
      </w:r>
      <w:r w:rsidR="0083102D">
        <w:t>.</w:t>
      </w:r>
      <w:r w:rsidR="00F85BBB">
        <w:t>”</w:t>
      </w:r>
      <w:r w:rsidR="00FB29AE" w:rsidRPr="005104BC">
        <w:rPr>
          <w:vertAlign w:val="superscript"/>
        </w:rPr>
        <w:footnoteReference w:id="166"/>
      </w:r>
      <w:r w:rsidR="00FB29AE">
        <w:t xml:space="preserve"> </w:t>
      </w:r>
      <w:r w:rsidR="0083102D">
        <w:t xml:space="preserve"> C</w:t>
      </w:r>
      <w:r w:rsidR="00FB29AE">
        <w:t>iting Peter Hogg as authority,</w:t>
      </w:r>
      <w:r w:rsidR="00F85BBB">
        <w:t xml:space="preserve"> </w:t>
      </w:r>
      <w:r w:rsidR="0083102D">
        <w:t xml:space="preserve">Ontario affirmed </w:t>
      </w:r>
      <w:r w:rsidR="00FB29AE">
        <w:t>that: “</w:t>
      </w:r>
      <w:r w:rsidR="00FB29AE" w:rsidRPr="00FB29AE">
        <w:t>s</w:t>
      </w:r>
      <w:r w:rsidR="00FB29AE">
        <w:t>. 7 protects against deprivations of rights; it does not establish positive rights or obligations on the state.  Nor does it provide protection to purely economic rights, including the right to affordable housing or a minimum standard of living.”</w:t>
      </w:r>
      <w:r w:rsidR="00AD389E" w:rsidRPr="005104BC">
        <w:rPr>
          <w:vertAlign w:val="superscript"/>
        </w:rPr>
        <w:footnoteReference w:id="167"/>
      </w:r>
      <w:r w:rsidR="00A720CE">
        <w:t xml:space="preserve">  In the Attorney General of Canada’s submission: “The Court’s decision in </w:t>
      </w:r>
      <w:r w:rsidR="00A720CE" w:rsidRPr="006015F6">
        <w:rPr>
          <w:i/>
        </w:rPr>
        <w:t>Gosselin</w:t>
      </w:r>
      <w:r w:rsidR="00A720CE">
        <w:t xml:space="preserve"> did not overrule any previous jurisprudence.  Rather the majority decision affirmed that section 7 has not been recognized to provide for positive rights or economic benefits.”</w:t>
      </w:r>
      <w:r w:rsidR="006015F6" w:rsidRPr="005104BC">
        <w:rPr>
          <w:vertAlign w:val="superscript"/>
        </w:rPr>
        <w:footnoteReference w:id="168"/>
      </w:r>
      <w:r w:rsidR="00A720CE">
        <w:t xml:space="preserve"> </w:t>
      </w:r>
    </w:p>
    <w:p w:rsidR="008607DD" w:rsidRDefault="00D41F30" w:rsidP="008B3A23">
      <w:pPr>
        <w:spacing w:line="480" w:lineRule="auto"/>
        <w:ind w:firstLine="720"/>
      </w:pPr>
      <w:r>
        <w:t xml:space="preserve">In his 2013 </w:t>
      </w:r>
      <w:r w:rsidR="00571386">
        <w:t xml:space="preserve">Ontario Superior Court </w:t>
      </w:r>
      <w:r>
        <w:t>ruling</w:t>
      </w:r>
      <w:r w:rsidR="00355E73">
        <w:t>, Justice Lederer g</w:t>
      </w:r>
      <w:r>
        <w:t xml:space="preserve">ranted the </w:t>
      </w:r>
      <w:r w:rsidR="00EC4209">
        <w:t xml:space="preserve">governments’ </w:t>
      </w:r>
      <w:r>
        <w:t xml:space="preserve">motion to strike the </w:t>
      </w:r>
      <w:r w:rsidRPr="00D41F30">
        <w:rPr>
          <w:i/>
        </w:rPr>
        <w:t>Tanudjaja</w:t>
      </w:r>
      <w:r w:rsidR="0058797E">
        <w:t xml:space="preserve"> claim</w:t>
      </w:r>
      <w:r w:rsidR="007176E5">
        <w:t>.</w:t>
      </w:r>
      <w:r w:rsidR="007176E5" w:rsidRPr="005104BC">
        <w:rPr>
          <w:vertAlign w:val="superscript"/>
        </w:rPr>
        <w:footnoteReference w:id="169"/>
      </w:r>
      <w:r w:rsidR="007F0B0C">
        <w:t xml:space="preserve">  </w:t>
      </w:r>
      <w:r w:rsidR="000A08C1">
        <w:t xml:space="preserve">In response to </w:t>
      </w:r>
      <w:r w:rsidR="007A02D3">
        <w:t>the Applicants</w:t>
      </w:r>
      <w:r w:rsidR="00A71757">
        <w:t>’</w:t>
      </w:r>
      <w:r w:rsidR="007A02D3">
        <w:t xml:space="preserve"> </w:t>
      </w:r>
      <w:r w:rsidR="00A71757">
        <w:t xml:space="preserve">argument </w:t>
      </w:r>
      <w:r w:rsidR="00AE617D">
        <w:t xml:space="preserve">that </w:t>
      </w:r>
      <w:r w:rsidR="00A71757">
        <w:t xml:space="preserve">the governments’ </w:t>
      </w:r>
      <w:r w:rsidR="002C7E22">
        <w:t xml:space="preserve">actions, both in contributing to and failing to address </w:t>
      </w:r>
      <w:r w:rsidR="00A71757">
        <w:t>homelessness</w:t>
      </w:r>
      <w:r w:rsidR="002C7E22">
        <w:t>,</w:t>
      </w:r>
      <w:r w:rsidR="00A71757">
        <w:t xml:space="preserve"> </w:t>
      </w:r>
      <w:r w:rsidR="00922AF3">
        <w:t xml:space="preserve">had </w:t>
      </w:r>
      <w:r w:rsidR="00A71757">
        <w:t xml:space="preserve">infringed the </w:t>
      </w:r>
      <w:r w:rsidR="00EC4209">
        <w:t xml:space="preserve">security of the person </w:t>
      </w:r>
      <w:r w:rsidR="00A71757">
        <w:t>of the Applicants and others similarly affected</w:t>
      </w:r>
      <w:r w:rsidR="007A02D3">
        <w:t xml:space="preserve">, </w:t>
      </w:r>
      <w:r w:rsidR="000A08C1">
        <w:t>Justice Lederer opined that: “the programs and decisions noted an</w:t>
      </w:r>
      <w:r w:rsidR="00922AF3">
        <w:t>d</w:t>
      </w:r>
      <w:r w:rsidR="000A08C1">
        <w:t xml:space="preserve"> complained of are not the cause of the harm described by the applicants.  They are, if anything, part of the cure.”</w:t>
      </w:r>
      <w:r w:rsidR="000A08C1" w:rsidRPr="005104BC">
        <w:rPr>
          <w:vertAlign w:val="superscript"/>
        </w:rPr>
        <w:footnoteReference w:id="170"/>
      </w:r>
      <w:r w:rsidR="000A08C1">
        <w:t xml:space="preserve">  </w:t>
      </w:r>
      <w:r w:rsidR="0087547E">
        <w:t xml:space="preserve">Justice Lederer was unpersuaded by the </w:t>
      </w:r>
      <w:r w:rsidR="007A02D3">
        <w:t xml:space="preserve">Applicants’ </w:t>
      </w:r>
      <w:r w:rsidR="00394173">
        <w:t>content</w:t>
      </w:r>
      <w:r w:rsidR="007A02D3">
        <w:t xml:space="preserve">ion </w:t>
      </w:r>
      <w:r w:rsidR="00281991">
        <w:t xml:space="preserve">that the Supreme Court </w:t>
      </w:r>
      <w:r w:rsidR="00274D75">
        <w:t xml:space="preserve">of Canada </w:t>
      </w:r>
      <w:r w:rsidR="00281991">
        <w:t>intended to, and did</w:t>
      </w:r>
      <w:r w:rsidR="00394173">
        <w:t xml:space="preserve"> in </w:t>
      </w:r>
      <w:r w:rsidR="00394173" w:rsidRPr="00394173">
        <w:rPr>
          <w:i/>
        </w:rPr>
        <w:t>Gosselin</w:t>
      </w:r>
      <w:r w:rsidR="00281991">
        <w:t xml:space="preserve">, leave open </w:t>
      </w:r>
      <w:r w:rsidR="0087547E">
        <w:t>the</w:t>
      </w:r>
      <w:r w:rsidR="00394173">
        <w:t xml:space="preserve"> possibility that section 7 could impose positive obligations</w:t>
      </w:r>
      <w:r w:rsidR="00997F0D">
        <w:t xml:space="preserve"> on governments to protect life, liberty and security of the person</w:t>
      </w:r>
      <w:r w:rsidR="000A08C1">
        <w:t xml:space="preserve">, affirming that: “Section 7 of the </w:t>
      </w:r>
      <w:r w:rsidR="000A08C1" w:rsidRPr="00662351">
        <w:rPr>
          <w:i/>
        </w:rPr>
        <w:t>Charter</w:t>
      </w:r>
      <w:r w:rsidR="000A08C1">
        <w:t xml:space="preserve"> does not provide a positive right to affordable, adequ</w:t>
      </w:r>
      <w:r w:rsidR="00922AF3">
        <w:t>ate, accessible housing.</w:t>
      </w:r>
      <w:r w:rsidR="000A08C1">
        <w:t>”</w:t>
      </w:r>
      <w:r w:rsidR="000A08C1" w:rsidRPr="005104BC">
        <w:rPr>
          <w:vertAlign w:val="superscript"/>
        </w:rPr>
        <w:footnoteReference w:id="171"/>
      </w:r>
      <w:r w:rsidR="000A08C1">
        <w:t xml:space="preserve">  </w:t>
      </w:r>
      <w:r w:rsidR="007B7178">
        <w:t>He also discounted the Applicants’</w:t>
      </w:r>
      <w:r w:rsidR="00394173">
        <w:t xml:space="preserve"> submission that </w:t>
      </w:r>
      <w:r w:rsidR="007A02D3">
        <w:t>th</w:t>
      </w:r>
      <w:r w:rsidR="00643D1C">
        <w:t>e</w:t>
      </w:r>
      <w:r w:rsidR="0087547E">
        <w:t xml:space="preserve"> </w:t>
      </w:r>
      <w:r w:rsidR="0058797E">
        <w:t xml:space="preserve">important constitutional </w:t>
      </w:r>
      <w:r w:rsidR="0087547E">
        <w:t xml:space="preserve">issues raised in </w:t>
      </w:r>
      <w:r w:rsidR="00643D1C" w:rsidRPr="00643D1C">
        <w:rPr>
          <w:i/>
        </w:rPr>
        <w:t>Tanudjaja</w:t>
      </w:r>
      <w:r w:rsidR="00643D1C">
        <w:t xml:space="preserve"> </w:t>
      </w:r>
      <w:r w:rsidR="00027BBE">
        <w:t>should not be disposed of</w:t>
      </w:r>
      <w:r>
        <w:t xml:space="preserve"> </w:t>
      </w:r>
      <w:r w:rsidR="00027BBE">
        <w:t xml:space="preserve">without a full hearing, </w:t>
      </w:r>
      <w:r w:rsidR="00643D1C">
        <w:t>on a</w:t>
      </w:r>
      <w:r w:rsidR="00027BBE">
        <w:t>n interlocutory</w:t>
      </w:r>
      <w:r w:rsidR="00643D1C">
        <w:t xml:space="preserve"> motion to strike</w:t>
      </w:r>
      <w:r w:rsidR="0087547E">
        <w:t>.</w:t>
      </w:r>
      <w:r w:rsidR="00281991" w:rsidRPr="005104BC">
        <w:rPr>
          <w:vertAlign w:val="superscript"/>
        </w:rPr>
        <w:footnoteReference w:id="172"/>
      </w:r>
      <w:r w:rsidR="0087547E">
        <w:t xml:space="preserve">  </w:t>
      </w:r>
      <w:r w:rsidR="00FC7E74">
        <w:t xml:space="preserve">Instead </w:t>
      </w:r>
      <w:r w:rsidR="00281991">
        <w:t xml:space="preserve">Justice Lederer </w:t>
      </w:r>
      <w:r w:rsidR="0087547E">
        <w:t>concluded</w:t>
      </w:r>
      <w:r w:rsidR="00643D1C">
        <w:t>:</w:t>
      </w:r>
      <w:r w:rsidR="0087547E">
        <w:t xml:space="preserve"> “It is plain and obvious that the Application cannot succeed … Quite apart from the question of whether there is a viable claim for breaches of the </w:t>
      </w:r>
      <w:r w:rsidR="0087547E" w:rsidRPr="0087547E">
        <w:rPr>
          <w:i/>
        </w:rPr>
        <w:t>Charter</w:t>
      </w:r>
      <w:r w:rsidR="0087547E">
        <w:t>, what the Court is ultimately being asked to do is beyond its competence and not justiciable.”</w:t>
      </w:r>
      <w:r w:rsidR="0087547E" w:rsidRPr="005104BC">
        <w:rPr>
          <w:vertAlign w:val="superscript"/>
        </w:rPr>
        <w:footnoteReference w:id="173"/>
      </w:r>
    </w:p>
    <w:p w:rsidR="00883407" w:rsidRDefault="00E75618" w:rsidP="00571386">
      <w:pPr>
        <w:spacing w:line="480" w:lineRule="auto"/>
      </w:pPr>
      <w:r>
        <w:tab/>
        <w:t>In its 2014 judgment</w:t>
      </w:r>
      <w:r w:rsidR="007F0014">
        <w:t xml:space="preserve">, </w:t>
      </w:r>
      <w:r w:rsidR="005552B5">
        <w:t xml:space="preserve">a 2-1 majority of </w:t>
      </w:r>
      <w:r w:rsidR="007F0014">
        <w:t>the Ontario Court of Appeal upheld Justice Lederer’s</w:t>
      </w:r>
      <w:r w:rsidR="008A10E4">
        <w:t xml:space="preserve"> order</w:t>
      </w:r>
      <w:r w:rsidR="007F0014">
        <w:t>.</w:t>
      </w:r>
      <w:r w:rsidR="000B23D8" w:rsidRPr="005104BC">
        <w:rPr>
          <w:vertAlign w:val="superscript"/>
        </w:rPr>
        <w:footnoteReference w:id="174"/>
      </w:r>
      <w:r w:rsidR="00C44DA3">
        <w:t xml:space="preserve"> </w:t>
      </w:r>
      <w:r w:rsidR="00C34B66">
        <w:t xml:space="preserve"> In her dissenting</w:t>
      </w:r>
      <w:r w:rsidR="000F5A2C">
        <w:t xml:space="preserve"> opinion</w:t>
      </w:r>
      <w:r w:rsidR="00C34B66">
        <w:t xml:space="preserve">, Justice </w:t>
      </w:r>
      <w:r w:rsidR="00373F81">
        <w:t xml:space="preserve">Feldman </w:t>
      </w:r>
      <w:r w:rsidR="00C34B66">
        <w:t xml:space="preserve">found that Justice Lederer erred </w:t>
      </w:r>
      <w:r w:rsidR="005318E4">
        <w:t xml:space="preserve">in </w:t>
      </w:r>
      <w:r w:rsidR="00422383">
        <w:t>decid</w:t>
      </w:r>
      <w:r w:rsidR="000F5A2C">
        <w:t xml:space="preserve">ing </w:t>
      </w:r>
      <w:r w:rsidR="00CF730F">
        <w:t xml:space="preserve">that </w:t>
      </w:r>
      <w:r w:rsidR="005318E4">
        <w:t xml:space="preserve">the issue of positive obligations under section 7 was settled law notwithstanding the Supreme Court’s contrary ruling in </w:t>
      </w:r>
      <w:r w:rsidR="005318E4" w:rsidRPr="005318E4">
        <w:rPr>
          <w:i/>
        </w:rPr>
        <w:t>Gosselin</w:t>
      </w:r>
      <w:r w:rsidR="00027BBE">
        <w:t>.</w:t>
      </w:r>
      <w:r w:rsidR="000B23D8" w:rsidRPr="005104BC">
        <w:rPr>
          <w:vertAlign w:val="superscript"/>
        </w:rPr>
        <w:footnoteReference w:id="175"/>
      </w:r>
      <w:r w:rsidR="00027BBE">
        <w:t xml:space="preserve">  </w:t>
      </w:r>
      <w:r w:rsidR="005F1593">
        <w:t xml:space="preserve">Even more problematic in her view, was </w:t>
      </w:r>
      <w:r w:rsidR="00422383">
        <w:t xml:space="preserve">his order to </w:t>
      </w:r>
      <w:r w:rsidR="00547D74">
        <w:t xml:space="preserve">dismiss the Application </w:t>
      </w:r>
      <w:r w:rsidR="00373F81">
        <w:t>at the pleadings stage</w:t>
      </w:r>
      <w:r w:rsidR="000B23D8" w:rsidRPr="005104BC">
        <w:rPr>
          <w:vertAlign w:val="superscript"/>
        </w:rPr>
        <w:footnoteReference w:id="176"/>
      </w:r>
      <w:r w:rsidR="005F1593">
        <w:t xml:space="preserve"> – a misuse of t</w:t>
      </w:r>
      <w:r w:rsidR="00922AF3">
        <w:t>he motion to strike “</w:t>
      </w:r>
      <w:r w:rsidR="00422383">
        <w:t>to frustrate potential developments in the law.”</w:t>
      </w:r>
      <w:r w:rsidR="005F1593" w:rsidRPr="005104BC">
        <w:rPr>
          <w:vertAlign w:val="superscript"/>
        </w:rPr>
        <w:footnoteReference w:id="177"/>
      </w:r>
      <w:r w:rsidR="000B23D8">
        <w:t xml:space="preserve"> </w:t>
      </w:r>
      <w:r w:rsidR="00422383">
        <w:t xml:space="preserve"> </w:t>
      </w:r>
      <w:r w:rsidR="00373F81">
        <w:t>Justice Pardu, with the concurrence of Justice Strathy,</w:t>
      </w:r>
      <w:r w:rsidR="00373F81" w:rsidRPr="005104BC">
        <w:rPr>
          <w:vertAlign w:val="superscript"/>
        </w:rPr>
        <w:footnoteReference w:id="178"/>
      </w:r>
      <w:r w:rsidR="00373F81">
        <w:t xml:space="preserve"> </w:t>
      </w:r>
      <w:r w:rsidR="00547D74">
        <w:t>agree</w:t>
      </w:r>
      <w:r w:rsidR="007B7178">
        <w:t>d</w:t>
      </w:r>
      <w:r w:rsidR="00A6365D">
        <w:t xml:space="preserve"> with Justice Lederer that the Applicants</w:t>
      </w:r>
      <w:r w:rsidR="005F1593">
        <w:t xml:space="preserve"> were </w:t>
      </w:r>
      <w:r w:rsidR="00547D74">
        <w:t>a</w:t>
      </w:r>
      <w:r w:rsidR="00F25E93">
        <w:t>rgu</w:t>
      </w:r>
      <w:r w:rsidR="00547D74">
        <w:t xml:space="preserve">ing </w:t>
      </w:r>
      <w:r w:rsidR="005F1593">
        <w:t>“that s. 7 confers a general freestanding right to adequate housing</w:t>
      </w:r>
      <w:r w:rsidR="004B7E2C">
        <w:t>.</w:t>
      </w:r>
      <w:r w:rsidR="005F1593">
        <w:t>”</w:t>
      </w:r>
      <w:r w:rsidR="00547D74" w:rsidRPr="005104BC">
        <w:rPr>
          <w:vertAlign w:val="superscript"/>
        </w:rPr>
        <w:footnoteReference w:id="179"/>
      </w:r>
      <w:r w:rsidR="00A6365D">
        <w:t xml:space="preserve">  S</w:t>
      </w:r>
      <w:r w:rsidR="004B7E2C" w:rsidRPr="004B7E2C">
        <w:t>he held that</w:t>
      </w:r>
      <w:r w:rsidR="00A6365D">
        <w:t xml:space="preserve"> </w:t>
      </w:r>
      <w:r w:rsidR="004B7E2C" w:rsidRPr="004B7E2C">
        <w:t xml:space="preserve">the </w:t>
      </w:r>
      <w:r w:rsidR="00A6365D">
        <w:t xml:space="preserve">Application </w:t>
      </w:r>
      <w:r w:rsidR="004B7E2C" w:rsidRPr="004B7E2C">
        <w:t xml:space="preserve">contained </w:t>
      </w:r>
      <w:r w:rsidR="00C44DA3">
        <w:t>“no sufficient legal component to engage the decision-making capacity of the courts”</w:t>
      </w:r>
      <w:r w:rsidR="00C44DA3" w:rsidRPr="005104BC">
        <w:rPr>
          <w:vertAlign w:val="superscript"/>
        </w:rPr>
        <w:footnoteReference w:id="180"/>
      </w:r>
      <w:r w:rsidR="00C44DA3">
        <w:t xml:space="preserve"> </w:t>
      </w:r>
      <w:r w:rsidR="00A6365D">
        <w:t xml:space="preserve">and </w:t>
      </w:r>
      <w:r w:rsidR="00400772">
        <w:t xml:space="preserve">that it was not therefore </w:t>
      </w:r>
      <w:r w:rsidR="00922AF3" w:rsidRPr="00922AF3">
        <w:t>justiciable</w:t>
      </w:r>
      <w:r w:rsidR="00E4676E">
        <w:t>.</w:t>
      </w:r>
      <w:r w:rsidR="00922AF3" w:rsidRPr="005104BC">
        <w:rPr>
          <w:vertAlign w:val="superscript"/>
        </w:rPr>
        <w:footnoteReference w:id="181"/>
      </w:r>
      <w:r w:rsidR="00922AF3">
        <w:t xml:space="preserve"> </w:t>
      </w:r>
      <w:r w:rsidR="00E4676E">
        <w:t xml:space="preserve"> As a result, J</w:t>
      </w:r>
      <w:r w:rsidR="00C44DA3">
        <w:t xml:space="preserve">ustice Pardu held it was unnecessary to consider “the extent to which positive obligations may be imposed on government to remedy violations of the </w:t>
      </w:r>
      <w:r w:rsidR="00C44DA3" w:rsidRPr="00ED7F50">
        <w:rPr>
          <w:i/>
        </w:rPr>
        <w:t>Charter</w:t>
      </w:r>
      <w:r w:rsidR="00C44DA3">
        <w:t>, a door left slight</w:t>
      </w:r>
      <w:r w:rsidR="00547D74">
        <w:t>ly</w:t>
      </w:r>
      <w:r w:rsidR="00C44DA3">
        <w:t xml:space="preserve"> ajar in </w:t>
      </w:r>
      <w:r w:rsidR="00C44DA3" w:rsidRPr="005F1593">
        <w:rPr>
          <w:i/>
        </w:rPr>
        <w:t>Gosselin</w:t>
      </w:r>
      <w:r w:rsidR="00C44DA3">
        <w:t>.</w:t>
      </w:r>
      <w:bookmarkStart w:id="14" w:name="_Hlk495770915"/>
      <w:r w:rsidR="00C44DA3">
        <w:t>”</w:t>
      </w:r>
      <w:bookmarkEnd w:id="14"/>
      <w:r w:rsidR="00CF730F" w:rsidRPr="005104BC">
        <w:rPr>
          <w:vertAlign w:val="superscript"/>
        </w:rPr>
        <w:footnoteReference w:id="182"/>
      </w:r>
      <w:r w:rsidR="00CF730F">
        <w:t xml:space="preserve"> </w:t>
      </w:r>
      <w:r w:rsidR="00C44DA3">
        <w:t xml:space="preserve"> </w:t>
      </w:r>
      <w:r w:rsidR="0062109B">
        <w:t>In 2015</w:t>
      </w:r>
      <w:r w:rsidR="006E37AD">
        <w:t xml:space="preserve">, </w:t>
      </w:r>
      <w:r w:rsidR="0062109B">
        <w:t>the Supreme Court of Canada refused leave to appeal</w:t>
      </w:r>
      <w:r w:rsidR="00F67339">
        <w:t xml:space="preserve">, </w:t>
      </w:r>
      <w:r w:rsidR="000F5FCD">
        <w:t>and</w:t>
      </w:r>
      <w:r w:rsidR="00E4676E">
        <w:t xml:space="preserve"> the</w:t>
      </w:r>
      <w:r w:rsidR="008A10E4">
        <w:t xml:space="preserve"> </w:t>
      </w:r>
      <w:r w:rsidR="000F5FCD" w:rsidRPr="000F5FCD">
        <w:rPr>
          <w:i/>
        </w:rPr>
        <w:t>Tanudjaja</w:t>
      </w:r>
      <w:r w:rsidR="000F5FCD">
        <w:t xml:space="preserve"> </w:t>
      </w:r>
      <w:r w:rsidR="00E4676E">
        <w:t xml:space="preserve">claim </w:t>
      </w:r>
      <w:r w:rsidR="00F67339">
        <w:t>was struck.</w:t>
      </w:r>
      <w:r w:rsidR="008D51DD" w:rsidRPr="005104BC">
        <w:rPr>
          <w:vertAlign w:val="superscript"/>
        </w:rPr>
        <w:footnoteReference w:id="183"/>
      </w:r>
    </w:p>
    <w:p w:rsidR="005552B5" w:rsidRDefault="005552B5" w:rsidP="00571386">
      <w:pPr>
        <w:spacing w:line="480" w:lineRule="auto"/>
      </w:pPr>
    </w:p>
    <w:p w:rsidR="0058797E" w:rsidRPr="00883407" w:rsidRDefault="0058797E" w:rsidP="00883407">
      <w:pPr>
        <w:pStyle w:val="Paragraphedeliste"/>
        <w:numPr>
          <w:ilvl w:val="0"/>
          <w:numId w:val="21"/>
        </w:numPr>
        <w:spacing w:line="480" w:lineRule="auto"/>
        <w:rPr>
          <w:b/>
        </w:rPr>
      </w:pPr>
      <w:r w:rsidRPr="00883407">
        <w:rPr>
          <w:b/>
          <w:i/>
        </w:rPr>
        <w:t>Gosselin</w:t>
      </w:r>
      <w:r w:rsidRPr="00883407">
        <w:rPr>
          <w:b/>
        </w:rPr>
        <w:t xml:space="preserve"> and the Failure of Constitutionalism</w:t>
      </w:r>
    </w:p>
    <w:p w:rsidR="008B3A23" w:rsidRDefault="00DC78F7" w:rsidP="008B3A23">
      <w:pPr>
        <w:spacing w:line="480" w:lineRule="auto"/>
        <w:ind w:firstLine="720"/>
      </w:pPr>
      <w:r>
        <w:t>T</w:t>
      </w:r>
      <w:r w:rsidR="009E3242">
        <w:t xml:space="preserve">he Applicants in </w:t>
      </w:r>
      <w:r w:rsidR="009E3242" w:rsidRPr="0038758F">
        <w:rPr>
          <w:i/>
        </w:rPr>
        <w:t>Tanudjaja</w:t>
      </w:r>
      <w:r w:rsidR="0058797E">
        <w:t xml:space="preserve"> </w:t>
      </w:r>
      <w:r w:rsidR="007B38E0">
        <w:t xml:space="preserve">exercised their rights under section 24(1) of the </w:t>
      </w:r>
      <w:r w:rsidR="007B38E0" w:rsidRPr="007B38E0">
        <w:rPr>
          <w:i/>
        </w:rPr>
        <w:t>Charter</w:t>
      </w:r>
      <w:r w:rsidR="007B38E0">
        <w:t xml:space="preserve"> to seek a </w:t>
      </w:r>
      <w:r w:rsidR="00586631">
        <w:t xml:space="preserve">judicial </w:t>
      </w:r>
      <w:r w:rsidR="007B38E0">
        <w:t xml:space="preserve">hearing and </w:t>
      </w:r>
      <w:r w:rsidR="006518F9">
        <w:t xml:space="preserve">to </w:t>
      </w:r>
      <w:r w:rsidR="007B38E0">
        <w:t xml:space="preserve">obtain </w:t>
      </w:r>
      <w:r w:rsidR="0058797E">
        <w:t xml:space="preserve">a </w:t>
      </w:r>
      <w:r w:rsidR="0083102D">
        <w:t>lega</w:t>
      </w:r>
      <w:r w:rsidR="00547D74">
        <w:t xml:space="preserve">l </w:t>
      </w:r>
      <w:r w:rsidR="007B38E0">
        <w:t xml:space="preserve">remedy for a </w:t>
      </w:r>
      <w:r w:rsidR="0083102D">
        <w:t xml:space="preserve">constitutional </w:t>
      </w:r>
      <w:r w:rsidR="007B38E0">
        <w:t xml:space="preserve">rights violation </w:t>
      </w:r>
      <w:r w:rsidR="0038758F">
        <w:t xml:space="preserve">grounded in the </w:t>
      </w:r>
      <w:r w:rsidR="00586631">
        <w:t xml:space="preserve">text </w:t>
      </w:r>
      <w:r w:rsidR="0038758F">
        <w:t xml:space="preserve">of </w:t>
      </w:r>
      <w:r w:rsidR="0058797E">
        <w:t xml:space="preserve">section 7 </w:t>
      </w:r>
      <w:r w:rsidR="008B3A23">
        <w:t>and</w:t>
      </w:r>
      <w:r w:rsidR="00BC11B9">
        <w:t xml:space="preserve"> </w:t>
      </w:r>
      <w:r w:rsidR="0058797E">
        <w:t xml:space="preserve">supported by </w:t>
      </w:r>
      <w:r w:rsidR="00BC11B9">
        <w:t xml:space="preserve">a full </w:t>
      </w:r>
      <w:r w:rsidR="008B3A23">
        <w:t xml:space="preserve">evidentiary </w:t>
      </w:r>
      <w:r w:rsidR="00BC11B9">
        <w:t>record</w:t>
      </w:r>
      <w:r w:rsidR="009E3242">
        <w:t>.</w:t>
      </w:r>
      <w:r w:rsidR="00074A3E">
        <w:t xml:space="preserve">  Although Canadian governments </w:t>
      </w:r>
      <w:r w:rsidR="0058797E">
        <w:t>are</w:t>
      </w:r>
      <w:r w:rsidR="00571386">
        <w:t xml:space="preserve">, following Canada’s ratification of the </w:t>
      </w:r>
      <w:r w:rsidR="00571386" w:rsidRPr="00571386">
        <w:rPr>
          <w:i/>
        </w:rPr>
        <w:t>ICESCR</w:t>
      </w:r>
      <w:r w:rsidR="00571386">
        <w:t>,</w:t>
      </w:r>
      <w:r w:rsidR="00571386" w:rsidRPr="005104BC">
        <w:rPr>
          <w:vertAlign w:val="superscript"/>
        </w:rPr>
        <w:footnoteReference w:id="184"/>
      </w:r>
      <w:r w:rsidR="0058797E">
        <w:t xml:space="preserve"> under </w:t>
      </w:r>
      <w:r w:rsidR="0038758F">
        <w:t xml:space="preserve">binding international </w:t>
      </w:r>
      <w:r w:rsidR="0058797E">
        <w:t xml:space="preserve">obligation </w:t>
      </w:r>
      <w:r w:rsidR="00B81489">
        <w:t xml:space="preserve">to respect </w:t>
      </w:r>
      <w:r w:rsidR="0038758F">
        <w:t xml:space="preserve">these </w:t>
      </w:r>
      <w:r w:rsidR="000E3164">
        <w:t xml:space="preserve">core </w:t>
      </w:r>
      <w:r w:rsidR="0038758F">
        <w:t xml:space="preserve">socio-economic rights, the Applicants did </w:t>
      </w:r>
      <w:r w:rsidR="00A414B2">
        <w:t xml:space="preserve">not argue </w:t>
      </w:r>
      <w:r w:rsidR="0038758F">
        <w:t>they had a</w:t>
      </w:r>
      <w:r w:rsidR="00074A3E">
        <w:t xml:space="preserve"> </w:t>
      </w:r>
      <w:r w:rsidR="000E3164" w:rsidRPr="000E3164">
        <w:rPr>
          <w:i/>
        </w:rPr>
        <w:t>Charter</w:t>
      </w:r>
      <w:r w:rsidR="000E3164">
        <w:t xml:space="preserve"> </w:t>
      </w:r>
      <w:r w:rsidR="0038758F">
        <w:t>right to housin</w:t>
      </w:r>
      <w:r w:rsidR="006A3859">
        <w:t>g or to an adequate level of income</w:t>
      </w:r>
      <w:r w:rsidR="0038758F">
        <w:t xml:space="preserve">.  </w:t>
      </w:r>
      <w:r w:rsidR="000E3164">
        <w:t xml:space="preserve">Rather they </w:t>
      </w:r>
      <w:r w:rsidR="00F72A1B">
        <w:t>submitt</w:t>
      </w:r>
      <w:r w:rsidR="000E3164">
        <w:t xml:space="preserve">ed that their </w:t>
      </w:r>
      <w:r w:rsidR="0083102D">
        <w:t xml:space="preserve">section 7 </w:t>
      </w:r>
      <w:r w:rsidR="000E3164">
        <w:t xml:space="preserve">rights </w:t>
      </w:r>
      <w:r w:rsidR="008B3A23">
        <w:t xml:space="preserve">to </w:t>
      </w:r>
      <w:r w:rsidR="00922AF3">
        <w:t xml:space="preserve">life and </w:t>
      </w:r>
      <w:r w:rsidR="008B3A23">
        <w:t xml:space="preserve">security of the person </w:t>
      </w:r>
      <w:r w:rsidR="00FA4264" w:rsidRPr="00FA4264">
        <w:t>were infringed by</w:t>
      </w:r>
      <w:r w:rsidR="00FA4264">
        <w:t xml:space="preserve"> policies and programs </w:t>
      </w:r>
      <w:r w:rsidR="00006C83">
        <w:t xml:space="preserve">that </w:t>
      </w:r>
      <w:r w:rsidR="00FA4264">
        <w:t>left them homeless, and by governments</w:t>
      </w:r>
      <w:r w:rsidR="00006C83">
        <w:t xml:space="preserve">’ refusal to take appropriate measures to </w:t>
      </w:r>
      <w:r w:rsidR="00571386">
        <w:t xml:space="preserve">address </w:t>
      </w:r>
      <w:r w:rsidR="00006C83">
        <w:t>this situation</w:t>
      </w:r>
      <w:r w:rsidR="00FA4264" w:rsidRPr="00FA4264">
        <w:t xml:space="preserve">, thereby </w:t>
      </w:r>
      <w:r w:rsidR="008B3A23">
        <w:t xml:space="preserve">threatening </w:t>
      </w:r>
      <w:r w:rsidR="00BC1AFE">
        <w:t xml:space="preserve">the integrity of families, </w:t>
      </w:r>
      <w:r w:rsidR="00A414B2">
        <w:t>physical and psychological</w:t>
      </w:r>
      <w:r w:rsidR="00BC11B9">
        <w:t xml:space="preserve"> </w:t>
      </w:r>
      <w:r w:rsidR="00BC1AFE">
        <w:t xml:space="preserve">health, personal </w:t>
      </w:r>
      <w:r w:rsidR="008B3A23">
        <w:t>inviolability and life itself</w:t>
      </w:r>
      <w:r w:rsidR="000E3164">
        <w:t>.</w:t>
      </w:r>
      <w:r w:rsidR="00F72A1B">
        <w:t xml:space="preserve">  </w:t>
      </w:r>
      <w:r w:rsidR="006A3859">
        <w:t xml:space="preserve">These </w:t>
      </w:r>
      <w:r w:rsidR="008B3A23">
        <w:t xml:space="preserve">types of harms had all been subject to section 7 review in </w:t>
      </w:r>
      <w:r w:rsidR="006A3859">
        <w:t xml:space="preserve">previous </w:t>
      </w:r>
      <w:r w:rsidR="00547D74">
        <w:t>Supreme Court</w:t>
      </w:r>
      <w:r w:rsidR="0071714E">
        <w:t xml:space="preserve"> cases</w:t>
      </w:r>
      <w:r w:rsidR="005D7EB9">
        <w:t>.</w:t>
      </w:r>
      <w:r w:rsidR="005D7EB9" w:rsidRPr="005104BC">
        <w:rPr>
          <w:vertAlign w:val="superscript"/>
        </w:rPr>
        <w:footnoteReference w:id="185"/>
      </w:r>
      <w:r w:rsidR="0071714E">
        <w:t xml:space="preserve">  </w:t>
      </w:r>
      <w:r w:rsidR="006A3859">
        <w:t>Nevertheles</w:t>
      </w:r>
      <w:r w:rsidR="00883407">
        <w:t>s</w:t>
      </w:r>
      <w:r w:rsidR="00F72A1B">
        <w:t xml:space="preserve">, </w:t>
      </w:r>
      <w:r w:rsidR="00F67339">
        <w:t xml:space="preserve">the Applicants’ </w:t>
      </w:r>
      <w:r w:rsidR="00F67339" w:rsidRPr="00E87072">
        <w:rPr>
          <w:i/>
        </w:rPr>
        <w:t>Charter</w:t>
      </w:r>
      <w:r w:rsidR="00F67339">
        <w:t xml:space="preserve"> argument </w:t>
      </w:r>
      <w:r w:rsidR="00F72A1B">
        <w:t xml:space="preserve">was </w:t>
      </w:r>
      <w:r w:rsidR="006A3859">
        <w:t>characteriz</w:t>
      </w:r>
      <w:r w:rsidR="00F72A1B">
        <w:t>ed</w:t>
      </w:r>
      <w:r w:rsidR="008B3A23">
        <w:t xml:space="preserve"> </w:t>
      </w:r>
      <w:r w:rsidR="00883407">
        <w:t xml:space="preserve">as a sweeping </w:t>
      </w:r>
      <w:r w:rsidR="00ED7F50">
        <w:t xml:space="preserve">demand for a freestanding right to housing </w:t>
      </w:r>
      <w:r w:rsidR="00006C83">
        <w:t xml:space="preserve">that fell beyond the </w:t>
      </w:r>
      <w:r w:rsidR="00F25E93">
        <w:t xml:space="preserve">ambit </w:t>
      </w:r>
      <w:r w:rsidR="00006C83">
        <w:t>of section 7</w:t>
      </w:r>
      <w:r w:rsidR="00F67339">
        <w:t xml:space="preserve">.  </w:t>
      </w:r>
      <w:r w:rsidR="008B3A23">
        <w:t xml:space="preserve">Justice Lederer summarized </w:t>
      </w:r>
      <w:r w:rsidR="000F5FCD">
        <w:t xml:space="preserve">why the </w:t>
      </w:r>
      <w:r w:rsidR="000F5FCD" w:rsidRPr="000F5FCD">
        <w:rPr>
          <w:i/>
        </w:rPr>
        <w:t>Tanudjaja</w:t>
      </w:r>
      <w:r w:rsidR="000F5FCD">
        <w:t xml:space="preserve"> claim could not</w:t>
      </w:r>
      <w:r w:rsidR="0083102D">
        <w:t>, in his</w:t>
      </w:r>
      <w:r w:rsidR="00F25E93">
        <w:t xml:space="preserve"> view</w:t>
      </w:r>
      <w:r w:rsidR="0083102D">
        <w:t>,</w:t>
      </w:r>
      <w:r w:rsidR="00922AF3">
        <w:t xml:space="preserve"> </w:t>
      </w:r>
      <w:r w:rsidR="000F5FCD">
        <w:t>be allowed to continue</w:t>
      </w:r>
      <w:r w:rsidR="008B3A23">
        <w:t>:</w:t>
      </w:r>
    </w:p>
    <w:p w:rsidR="00074A3E" w:rsidRDefault="00DC78F7" w:rsidP="00074A3E">
      <w:pPr>
        <w:spacing w:line="240" w:lineRule="auto"/>
        <w:ind w:left="567" w:right="567"/>
      </w:pPr>
      <w:r>
        <w:t>[W]</w:t>
      </w:r>
      <w:r w:rsidR="008B3A23">
        <w:t xml:space="preserve">hat is being sought here is a determination that every citizen has a right, protected by the </w:t>
      </w:r>
      <w:r w:rsidR="008B3A23" w:rsidRPr="008607DD">
        <w:rPr>
          <w:i/>
        </w:rPr>
        <w:t>Charter</w:t>
      </w:r>
      <w:r w:rsidR="008B3A23">
        <w:t xml:space="preserve">, to a minimum standard of living … Any application built on the premise that the </w:t>
      </w:r>
      <w:r w:rsidR="008B3A23" w:rsidRPr="008607DD">
        <w:rPr>
          <w:i/>
        </w:rPr>
        <w:t>Charter</w:t>
      </w:r>
      <w:r w:rsidR="008B3A23">
        <w:t xml:space="preserve"> imposes such a right cannot succeed and is misconceived.  General questions that reference, among many other issues, assistance to those in poverty, the levels of housing supports and income supplements, the basis on which people may be evicted from where they live and the treatment of those with psycho-social and intellectual disabilities are important, but the courtroom is not the place for their review.</w:t>
      </w:r>
      <w:r w:rsidR="008B3A23" w:rsidRPr="005104BC">
        <w:rPr>
          <w:vertAlign w:val="superscript"/>
        </w:rPr>
        <w:footnoteReference w:id="186"/>
      </w:r>
    </w:p>
    <w:p w:rsidR="00074A3E" w:rsidRDefault="00074A3E" w:rsidP="004E36AC">
      <w:pPr>
        <w:spacing w:line="480" w:lineRule="auto"/>
        <w:ind w:right="567"/>
      </w:pPr>
    </w:p>
    <w:p w:rsidR="00D57E87" w:rsidRDefault="004E36AC" w:rsidP="00D57E87">
      <w:pPr>
        <w:spacing w:line="480" w:lineRule="auto"/>
        <w:ind w:firstLine="567"/>
      </w:pPr>
      <w:r>
        <w:t xml:space="preserve">The Applicants in </w:t>
      </w:r>
      <w:r w:rsidRPr="0038758F">
        <w:rPr>
          <w:i/>
        </w:rPr>
        <w:t>Tanudjaja</w:t>
      </w:r>
      <w:r>
        <w:t xml:space="preserve"> </w:t>
      </w:r>
      <w:r w:rsidR="005D7EB9">
        <w:t xml:space="preserve">were </w:t>
      </w:r>
      <w:r>
        <w:t xml:space="preserve">not </w:t>
      </w:r>
      <w:r w:rsidR="00EC4209">
        <w:t xml:space="preserve">merely </w:t>
      </w:r>
      <w:r w:rsidR="005D7EB9">
        <w:t xml:space="preserve">required to </w:t>
      </w:r>
      <w:r w:rsidR="00ED7F50">
        <w:t>meet a disproportionate evidentiary standard or to combat negative stereotypes and judicial preconceptions about the homeless and homelessness.  T</w:t>
      </w:r>
      <w:r>
        <w:t xml:space="preserve">hey were denied the </w:t>
      </w:r>
      <w:r w:rsidR="001F3437">
        <w:t xml:space="preserve">very </w:t>
      </w:r>
      <w:r>
        <w:t xml:space="preserve">opportunity </w:t>
      </w:r>
      <w:r w:rsidR="001F3437">
        <w:t xml:space="preserve">to have </w:t>
      </w:r>
      <w:r w:rsidR="00FC7E74">
        <w:t xml:space="preserve">their evidence </w:t>
      </w:r>
      <w:r w:rsidR="00004A7F">
        <w:t xml:space="preserve">and arguments </w:t>
      </w:r>
      <w:r w:rsidR="00ED7F50">
        <w:t xml:space="preserve">fully </w:t>
      </w:r>
      <w:r w:rsidR="00F81F49">
        <w:t>heard</w:t>
      </w:r>
      <w:r>
        <w:t>.</w:t>
      </w:r>
      <w:r w:rsidR="001D7AD3">
        <w:t xml:space="preserve">  </w:t>
      </w:r>
      <w:bookmarkStart w:id="15" w:name="_Hlk495956013"/>
      <w:r w:rsidR="005D7EB9">
        <w:t xml:space="preserve">In spite </w:t>
      </w:r>
      <w:r w:rsidR="00475188">
        <w:t>of the implications</w:t>
      </w:r>
      <w:r w:rsidR="005D7EB9">
        <w:t xml:space="preserve"> of </w:t>
      </w:r>
      <w:r w:rsidR="00F25E93">
        <w:t xml:space="preserve">upholding </w:t>
      </w:r>
      <w:r w:rsidR="00B80CB9">
        <w:t xml:space="preserve">Justice Lederer </w:t>
      </w:r>
      <w:r w:rsidR="00F25E93">
        <w:t xml:space="preserve">and </w:t>
      </w:r>
      <w:r w:rsidR="00B80CB9">
        <w:t xml:space="preserve">the </w:t>
      </w:r>
      <w:r w:rsidR="00F25E93">
        <w:t xml:space="preserve">Ontario Court of Appeal’s </w:t>
      </w:r>
      <w:bookmarkStart w:id="16" w:name="_Hlk504658588"/>
      <w:r w:rsidR="00F25E93">
        <w:t xml:space="preserve">decision to </w:t>
      </w:r>
      <w:r w:rsidR="005D7EB9">
        <w:t>strik</w:t>
      </w:r>
      <w:r w:rsidR="00F25E93">
        <w:t>e</w:t>
      </w:r>
      <w:r w:rsidR="005D7EB9">
        <w:t xml:space="preserve"> the</w:t>
      </w:r>
      <w:r w:rsidR="007370C6">
        <w:t xml:space="preserve"> </w:t>
      </w:r>
      <w:r w:rsidR="00B80CB9" w:rsidRPr="00B80CB9">
        <w:rPr>
          <w:i/>
        </w:rPr>
        <w:t>Tanudjaja</w:t>
      </w:r>
      <w:r w:rsidR="00B80CB9">
        <w:t xml:space="preserve"> </w:t>
      </w:r>
      <w:r w:rsidR="00571386">
        <w:t>A</w:t>
      </w:r>
      <w:r w:rsidR="007370C6">
        <w:t xml:space="preserve">pplication </w:t>
      </w:r>
      <w:r w:rsidR="005D7EB9">
        <w:t>at the pleadings stage</w:t>
      </w:r>
      <w:r w:rsidR="00F81F49">
        <w:t xml:space="preserve">, the Supreme </w:t>
      </w:r>
      <w:r w:rsidR="00ED5A4D">
        <w:t>C</w:t>
      </w:r>
      <w:r w:rsidR="00C92425">
        <w:t>o</w:t>
      </w:r>
      <w:r w:rsidR="00ED5A4D">
        <w:t xml:space="preserve">urt </w:t>
      </w:r>
      <w:r w:rsidR="00F81F49">
        <w:t>refused leave to appeal</w:t>
      </w:r>
      <w:r w:rsidR="00212583">
        <w:t xml:space="preserve">, </w:t>
      </w:r>
      <w:bookmarkEnd w:id="15"/>
      <w:r w:rsidR="00212583">
        <w:t xml:space="preserve">as it has done in virtually every poverty-related </w:t>
      </w:r>
      <w:r w:rsidR="00212583" w:rsidRPr="00212583">
        <w:rPr>
          <w:i/>
        </w:rPr>
        <w:t>Charter</w:t>
      </w:r>
      <w:r w:rsidR="00212583">
        <w:t xml:space="preserve"> c</w:t>
      </w:r>
      <w:r w:rsidR="00B80CB9">
        <w:t>as</w:t>
      </w:r>
      <w:r w:rsidR="00212583">
        <w:t xml:space="preserve">e since </w:t>
      </w:r>
      <w:r w:rsidR="00212583" w:rsidRPr="00212583">
        <w:rPr>
          <w:i/>
        </w:rPr>
        <w:t>Gosselin</w:t>
      </w:r>
      <w:r w:rsidR="000F5FCD">
        <w:t>.</w:t>
      </w:r>
      <w:r w:rsidR="0068367A" w:rsidRPr="005104BC">
        <w:rPr>
          <w:vertAlign w:val="superscript"/>
        </w:rPr>
        <w:footnoteReference w:id="187"/>
      </w:r>
      <w:r w:rsidR="000F5FCD">
        <w:t xml:space="preserve"> </w:t>
      </w:r>
      <w:r w:rsidR="00ED5A4D">
        <w:t xml:space="preserve"> </w:t>
      </w:r>
      <w:bookmarkEnd w:id="16"/>
      <w:r w:rsidR="00104B34">
        <w:t xml:space="preserve">In 2007 for instance, the </w:t>
      </w:r>
      <w:r w:rsidR="007370C6">
        <w:t xml:space="preserve">Supreme </w:t>
      </w:r>
      <w:r w:rsidR="00104B34">
        <w:t xml:space="preserve">Court refused leave to appeal </w:t>
      </w:r>
      <w:r w:rsidR="00B80CB9">
        <w:t xml:space="preserve">the lower courts’ ruling </w:t>
      </w:r>
      <w:r w:rsidR="00571386">
        <w:t xml:space="preserve">in </w:t>
      </w:r>
      <w:r w:rsidR="00571386" w:rsidRPr="00104B34">
        <w:rPr>
          <w:i/>
        </w:rPr>
        <w:t>R. v. Banks</w:t>
      </w:r>
      <w:r w:rsidR="002D3EA3">
        <w:t>,</w:t>
      </w:r>
      <w:r w:rsidR="00571386" w:rsidRPr="005104BC">
        <w:rPr>
          <w:vertAlign w:val="superscript"/>
        </w:rPr>
        <w:footnoteReference w:id="188"/>
      </w:r>
      <w:r w:rsidR="002D3EA3">
        <w:t xml:space="preserve"> dismissing a constitutional </w:t>
      </w:r>
      <w:r w:rsidR="00571386">
        <w:t xml:space="preserve">challenge </w:t>
      </w:r>
      <w:r w:rsidR="002D3EA3">
        <w:t xml:space="preserve">to the Ontario </w:t>
      </w:r>
      <w:r w:rsidR="002D3EA3" w:rsidRPr="0068367A">
        <w:rPr>
          <w:i/>
        </w:rPr>
        <w:t>Safe Streets Act</w:t>
      </w:r>
      <w:r w:rsidR="002D3EA3">
        <w:t>.</w:t>
      </w:r>
      <w:r w:rsidR="002D3EA3" w:rsidRPr="005104BC">
        <w:rPr>
          <w:vertAlign w:val="superscript"/>
        </w:rPr>
        <w:footnoteReference w:id="189"/>
      </w:r>
      <w:r w:rsidR="002D3EA3">
        <w:t xml:space="preserve">  The </w:t>
      </w:r>
      <w:r w:rsidR="002D3EA3" w:rsidRPr="002D3EA3">
        <w:rPr>
          <w:i/>
        </w:rPr>
        <w:t>Charter</w:t>
      </w:r>
      <w:r w:rsidR="002D3EA3">
        <w:t xml:space="preserve"> claim </w:t>
      </w:r>
      <w:r w:rsidR="00B80CB9">
        <w:t xml:space="preserve">was </w:t>
      </w:r>
      <w:r w:rsidR="00571386">
        <w:t>reject</w:t>
      </w:r>
      <w:r w:rsidR="007370C6">
        <w:t xml:space="preserve">ed </w:t>
      </w:r>
      <w:r w:rsidR="002D3EA3">
        <w:t xml:space="preserve">in that case </w:t>
      </w:r>
      <w:r w:rsidR="007370C6">
        <w:t xml:space="preserve">because the </w:t>
      </w:r>
      <w:r w:rsidR="00CB73F4">
        <w:t xml:space="preserve">lower courts found no </w:t>
      </w:r>
      <w:r w:rsidR="00ED5A4D">
        <w:t>evidence</w:t>
      </w:r>
      <w:r w:rsidR="00880920">
        <w:t xml:space="preserve"> that prohibiting</w:t>
      </w:r>
      <w:r w:rsidR="00ED5A4D">
        <w:t xml:space="preserve"> panhandling </w:t>
      </w:r>
      <w:r w:rsidR="00C92425">
        <w:t xml:space="preserve">interfered with the </w:t>
      </w:r>
      <w:r w:rsidR="002D3EA3">
        <w:t xml:space="preserve">homeless claimants’ </w:t>
      </w:r>
      <w:r w:rsidR="00C92425">
        <w:t>ability to survive</w:t>
      </w:r>
      <w:r w:rsidR="0068367A" w:rsidRPr="005104BC">
        <w:rPr>
          <w:vertAlign w:val="superscript"/>
        </w:rPr>
        <w:footnoteReference w:id="190"/>
      </w:r>
      <w:r w:rsidR="0068367A">
        <w:t xml:space="preserve"> </w:t>
      </w:r>
      <w:r w:rsidR="00C92425">
        <w:t>and</w:t>
      </w:r>
      <w:r w:rsidR="007370C6">
        <w:t xml:space="preserve"> because</w:t>
      </w:r>
      <w:r w:rsidR="00B80CB9">
        <w:t>, in the trial judge’s view,</w:t>
      </w:r>
      <w:r w:rsidR="007370C6">
        <w:t xml:space="preserve"> </w:t>
      </w:r>
      <w:r w:rsidR="00C92425">
        <w:t xml:space="preserve">allowing </w:t>
      </w:r>
      <w:r w:rsidR="0011286A">
        <w:t xml:space="preserve">such </w:t>
      </w:r>
      <w:r w:rsidR="00C92425">
        <w:t xml:space="preserve">a </w:t>
      </w:r>
      <w:r w:rsidR="00CB73F4">
        <w:t xml:space="preserve">claim </w:t>
      </w:r>
      <w:r w:rsidR="00C92425">
        <w:t>would</w:t>
      </w:r>
      <w:r w:rsidR="00B80CB9">
        <w:t xml:space="preserve"> </w:t>
      </w:r>
      <w:r w:rsidR="00C92425">
        <w:t>“bring all the elements of the welfare state under scrutiny just as surely as a claim to state largesse.”</w:t>
      </w:r>
      <w:r w:rsidR="0068367A" w:rsidRPr="005104BC">
        <w:rPr>
          <w:vertAlign w:val="superscript"/>
        </w:rPr>
        <w:footnoteReference w:id="191"/>
      </w:r>
      <w:r w:rsidR="00C92425">
        <w:t xml:space="preserve">  In </w:t>
      </w:r>
      <w:r w:rsidR="00DA6DDA">
        <w:t xml:space="preserve">2008, the </w:t>
      </w:r>
      <w:r w:rsidR="002D3EA3">
        <w:t xml:space="preserve">Supreme </w:t>
      </w:r>
      <w:r w:rsidR="00DA6DDA">
        <w:t xml:space="preserve">Court denied leave in </w:t>
      </w:r>
      <w:r w:rsidR="00DA6DDA" w:rsidRPr="00DA6DDA">
        <w:rPr>
          <w:i/>
        </w:rPr>
        <w:t>Canadian Bar Association v British Columbia</w:t>
      </w:r>
      <w:r w:rsidR="00880920">
        <w:t>,</w:t>
      </w:r>
      <w:r w:rsidR="00880920" w:rsidRPr="005104BC">
        <w:rPr>
          <w:vertAlign w:val="superscript"/>
        </w:rPr>
        <w:footnoteReference w:id="192"/>
      </w:r>
      <w:r w:rsidR="00732E1A">
        <w:t xml:space="preserve"> </w:t>
      </w:r>
      <w:r w:rsidR="00880920">
        <w:t xml:space="preserve">which invoked section 7 to </w:t>
      </w:r>
      <w:r w:rsidR="00732E1A">
        <w:t>challeng</w:t>
      </w:r>
      <w:r w:rsidR="00880920">
        <w:t>e</w:t>
      </w:r>
      <w:r w:rsidR="00732E1A">
        <w:t xml:space="preserve"> </w:t>
      </w:r>
      <w:r w:rsidR="0071714E">
        <w:t xml:space="preserve">the </w:t>
      </w:r>
      <w:r w:rsidR="00DA6DDA">
        <w:t xml:space="preserve">civil legal aid </w:t>
      </w:r>
      <w:r w:rsidR="00835F41">
        <w:t xml:space="preserve">system’s </w:t>
      </w:r>
      <w:r w:rsidR="00DA6DDA">
        <w:t xml:space="preserve">failure to ensure that people </w:t>
      </w:r>
      <w:r w:rsidR="00DF49F2">
        <w:t xml:space="preserve">living in poverty, and especially women, </w:t>
      </w:r>
      <w:r w:rsidR="00DA6DDA">
        <w:t>had meaningful access to justice</w:t>
      </w:r>
      <w:r w:rsidR="00245B14">
        <w:t xml:space="preserve"> in situations affecting</w:t>
      </w:r>
      <w:r w:rsidR="00CB73F4">
        <w:t xml:space="preserve"> their</w:t>
      </w:r>
      <w:r w:rsidR="00245B14">
        <w:t xml:space="preserve"> </w:t>
      </w:r>
      <w:r w:rsidR="00245B14" w:rsidRPr="00245B14">
        <w:rPr>
          <w:i/>
        </w:rPr>
        <w:t>Charter</w:t>
      </w:r>
      <w:r w:rsidR="00245B14">
        <w:t>-protected interests</w:t>
      </w:r>
      <w:r w:rsidR="00DF49F2">
        <w:t>.  T</w:t>
      </w:r>
      <w:r w:rsidR="00DA6DDA">
        <w:t xml:space="preserve">he </w:t>
      </w:r>
      <w:r w:rsidR="00245B14">
        <w:t xml:space="preserve">B.C. </w:t>
      </w:r>
      <w:r w:rsidR="00880920">
        <w:t xml:space="preserve">courts </w:t>
      </w:r>
      <w:r w:rsidR="00DA6DDA">
        <w:t xml:space="preserve">ruled </w:t>
      </w:r>
      <w:r w:rsidR="009D623A">
        <w:t xml:space="preserve">that </w:t>
      </w:r>
      <w:r w:rsidR="00DA6DDA">
        <w:t>the claim should be struck because</w:t>
      </w:r>
      <w:r w:rsidR="00880920">
        <w:t xml:space="preserve"> “the CBA does not challenge any legislation, nor indeed an</w:t>
      </w:r>
      <w:r w:rsidR="001E210F">
        <w:t xml:space="preserve">y government action </w:t>
      </w:r>
      <w:r w:rsidR="009D623A">
        <w:t>..</w:t>
      </w:r>
      <w:r w:rsidR="00880920">
        <w:t>. Rather it seeks a sweepin</w:t>
      </w:r>
      <w:r w:rsidR="009D623A">
        <w:t>g review of the entire program.</w:t>
      </w:r>
      <w:r w:rsidR="00880920">
        <w:t>”</w:t>
      </w:r>
      <w:r w:rsidR="00880920" w:rsidRPr="005104BC">
        <w:rPr>
          <w:vertAlign w:val="superscript"/>
        </w:rPr>
        <w:footnoteReference w:id="193"/>
      </w:r>
      <w:r w:rsidR="00732E1A">
        <w:t xml:space="preserve">  </w:t>
      </w:r>
    </w:p>
    <w:p w:rsidR="00732E1A" w:rsidRPr="002C2013" w:rsidRDefault="00732E1A" w:rsidP="00927481">
      <w:pPr>
        <w:spacing w:line="480" w:lineRule="auto"/>
        <w:ind w:firstLine="567"/>
      </w:pPr>
      <w:r>
        <w:t xml:space="preserve">In 2009, the </w:t>
      </w:r>
      <w:r w:rsidR="00835F41">
        <w:t xml:space="preserve">Supreme </w:t>
      </w:r>
      <w:r>
        <w:t xml:space="preserve">Court denied leave in </w:t>
      </w:r>
      <w:r w:rsidRPr="00666CB7">
        <w:rPr>
          <w:i/>
        </w:rPr>
        <w:t>Boulter</w:t>
      </w:r>
      <w:r w:rsidR="00245B14">
        <w:rPr>
          <w:i/>
        </w:rPr>
        <w:t xml:space="preserve"> v Nova Scotia Power Assn. Inc.</w:t>
      </w:r>
      <w:r w:rsidR="00DF49F2">
        <w:t>,</w:t>
      </w:r>
      <w:r w:rsidR="00245B14" w:rsidRPr="005104BC">
        <w:rPr>
          <w:vertAlign w:val="superscript"/>
        </w:rPr>
        <w:footnoteReference w:id="194"/>
      </w:r>
      <w:r>
        <w:t xml:space="preserve"> </w:t>
      </w:r>
      <w:r w:rsidR="009D623A">
        <w:t xml:space="preserve">in which the claimants </w:t>
      </w:r>
      <w:r w:rsidR="00666CB7">
        <w:t>challeng</w:t>
      </w:r>
      <w:r w:rsidR="00835F41">
        <w:t>e</w:t>
      </w:r>
      <w:r w:rsidR="009D623A">
        <w:t>d</w:t>
      </w:r>
      <w:r w:rsidR="00835F41">
        <w:t xml:space="preserve"> the </w:t>
      </w:r>
      <w:r>
        <w:t>provinc</w:t>
      </w:r>
      <w:r w:rsidR="00666CB7">
        <w:t>e’s</w:t>
      </w:r>
      <w:r>
        <w:t xml:space="preserve"> </w:t>
      </w:r>
      <w:r w:rsidR="00835F41">
        <w:t xml:space="preserve">approach to </w:t>
      </w:r>
      <w:r>
        <w:t xml:space="preserve">electricity pricing </w:t>
      </w:r>
      <w:r w:rsidR="009D623A">
        <w:t>on the grounds that it</w:t>
      </w:r>
      <w:r w:rsidR="00835F41">
        <w:t xml:space="preserve"> exacerbated </w:t>
      </w:r>
      <w:r>
        <w:t>the unaffordability of residential hydro services for people living in poverty</w:t>
      </w:r>
      <w:r w:rsidR="00835F41">
        <w:t>.</w:t>
      </w:r>
      <w:r w:rsidR="00245B14" w:rsidRPr="005104BC">
        <w:rPr>
          <w:vertAlign w:val="superscript"/>
        </w:rPr>
        <w:footnoteReference w:id="195"/>
      </w:r>
      <w:r w:rsidR="00835F41">
        <w:t xml:space="preserve">  In rejecting the Applicants’ </w:t>
      </w:r>
      <w:r w:rsidR="00835F41" w:rsidRPr="00835F41">
        <w:rPr>
          <w:i/>
        </w:rPr>
        <w:t>Charter</w:t>
      </w:r>
      <w:r w:rsidR="00F95C10">
        <w:t xml:space="preserve"> claim</w:t>
      </w:r>
      <w:r w:rsidR="00CB73F4">
        <w:t xml:space="preserve"> in that case</w:t>
      </w:r>
      <w:r w:rsidR="00F95C10">
        <w:t xml:space="preserve">, </w:t>
      </w:r>
      <w:r w:rsidR="00835F41">
        <w:t xml:space="preserve">the </w:t>
      </w:r>
      <w:r w:rsidR="00D77094">
        <w:t xml:space="preserve">Nova Scotia </w:t>
      </w:r>
      <w:r>
        <w:t>Court of Appeal</w:t>
      </w:r>
      <w:r w:rsidR="00835F41">
        <w:t xml:space="preserve"> </w:t>
      </w:r>
      <w:r w:rsidR="0081137E">
        <w:t>averr</w:t>
      </w:r>
      <w:r w:rsidR="00835F41">
        <w:t>ed</w:t>
      </w:r>
      <w:r>
        <w:t>:</w:t>
      </w:r>
      <w:r w:rsidR="00666CB7">
        <w:t xml:space="preserve"> “</w:t>
      </w:r>
      <w:r>
        <w:t>That poverty’s plight appeals for relief does not mean the redress is constitutional.</w:t>
      </w:r>
      <w:r w:rsidR="00666CB7">
        <w:t>”</w:t>
      </w:r>
      <w:r w:rsidR="00880920" w:rsidRPr="005104BC">
        <w:rPr>
          <w:vertAlign w:val="superscript"/>
        </w:rPr>
        <w:footnoteReference w:id="196"/>
      </w:r>
      <w:r w:rsidR="00666CB7">
        <w:t xml:space="preserve">  And</w:t>
      </w:r>
      <w:r w:rsidR="00835F41">
        <w:t>,</w:t>
      </w:r>
      <w:r w:rsidR="00666CB7">
        <w:t xml:space="preserve"> in </w:t>
      </w:r>
      <w:r w:rsidR="00835F41">
        <w:t xml:space="preserve">2012, the Supreme Court refused leave to appeal </w:t>
      </w:r>
      <w:r w:rsidR="00925E6F">
        <w:t xml:space="preserve">the decision in </w:t>
      </w:r>
      <w:r w:rsidR="00925E6F" w:rsidRPr="00D57E87">
        <w:rPr>
          <w:i/>
        </w:rPr>
        <w:t>Toussaint</w:t>
      </w:r>
      <w:r w:rsidR="0081137E">
        <w:rPr>
          <w:i/>
        </w:rPr>
        <w:t xml:space="preserve"> v Canada</w:t>
      </w:r>
      <w:r w:rsidR="00925E6F">
        <w:t>,</w:t>
      </w:r>
      <w:r w:rsidR="00925E6F" w:rsidRPr="005104BC">
        <w:rPr>
          <w:vertAlign w:val="superscript"/>
        </w:rPr>
        <w:footnoteReference w:id="197"/>
      </w:r>
      <w:r w:rsidR="00925E6F">
        <w:t xml:space="preserve"> in which t</w:t>
      </w:r>
      <w:r w:rsidR="0081137E">
        <w:t>he F</w:t>
      </w:r>
      <w:r w:rsidR="0080121C">
        <w:t xml:space="preserve">ederal courts </w:t>
      </w:r>
      <w:r w:rsidR="00CB73F4">
        <w:t>dismiss</w:t>
      </w:r>
      <w:r w:rsidR="00925E6F">
        <w:t xml:space="preserve">ed a section 7 </w:t>
      </w:r>
      <w:r w:rsidR="00835F41">
        <w:t xml:space="preserve">challenge to the </w:t>
      </w:r>
      <w:r w:rsidR="00D77094">
        <w:t xml:space="preserve">federal government’s </w:t>
      </w:r>
      <w:r w:rsidR="0081137E">
        <w:t xml:space="preserve">denial of </w:t>
      </w:r>
      <w:r w:rsidR="00835F41">
        <w:t xml:space="preserve">health care </w:t>
      </w:r>
      <w:r w:rsidR="00CB73F4">
        <w:t xml:space="preserve">benefits </w:t>
      </w:r>
      <w:r w:rsidR="0081137E">
        <w:t>to an undocumented migrant</w:t>
      </w:r>
      <w:r w:rsidR="00927481">
        <w:t xml:space="preserve"> in </w:t>
      </w:r>
      <w:r w:rsidR="00CB73F4">
        <w:t xml:space="preserve">urgent </w:t>
      </w:r>
      <w:r w:rsidR="00927481">
        <w:t>need of medical care</w:t>
      </w:r>
      <w:r w:rsidR="0081137E">
        <w:t>,</w:t>
      </w:r>
      <w:r w:rsidR="00925E6F">
        <w:t xml:space="preserve"> </w:t>
      </w:r>
      <w:r w:rsidR="00F95C10">
        <w:t xml:space="preserve">on the grounds </w:t>
      </w:r>
      <w:r w:rsidR="00D77094">
        <w:t xml:space="preserve">her </w:t>
      </w:r>
      <w:r w:rsidR="00927481">
        <w:t>own conduct was the “operative cause” of any injury to her section 7 rights,</w:t>
      </w:r>
      <w:r w:rsidR="00927481" w:rsidRPr="005104BC">
        <w:rPr>
          <w:vertAlign w:val="superscript"/>
        </w:rPr>
        <w:footnoteReference w:id="198"/>
      </w:r>
      <w:r w:rsidR="00925E6F">
        <w:t xml:space="preserve"> and</w:t>
      </w:r>
      <w:r w:rsidR="0080121C">
        <w:t xml:space="preserve"> </w:t>
      </w:r>
      <w:r w:rsidR="00925E6F">
        <w:t>because Canada might otherwise become a “health care safe haven.”</w:t>
      </w:r>
      <w:r w:rsidR="00925E6F" w:rsidRPr="005104BC">
        <w:rPr>
          <w:vertAlign w:val="superscript"/>
        </w:rPr>
        <w:footnoteReference w:id="199"/>
      </w:r>
    </w:p>
    <w:p w:rsidR="00E4639D" w:rsidRPr="00BB219C" w:rsidRDefault="00F404ED" w:rsidP="00F404ED">
      <w:pPr>
        <w:spacing w:line="480" w:lineRule="auto"/>
      </w:pPr>
      <w:r>
        <w:t xml:space="preserve"> </w:t>
      </w:r>
      <w:r>
        <w:tab/>
        <w:t xml:space="preserve">The Supreme Court’s refusal to grant leave to appeal </w:t>
      </w:r>
      <w:r w:rsidR="00D57E87">
        <w:t xml:space="preserve">in these </w:t>
      </w:r>
      <w:r w:rsidR="006702EE">
        <w:t xml:space="preserve">or </w:t>
      </w:r>
      <w:r w:rsidR="0081137E">
        <w:t xml:space="preserve">virtually </w:t>
      </w:r>
      <w:r w:rsidR="00D57E87">
        <w:t xml:space="preserve">any other poverty-related </w:t>
      </w:r>
      <w:r w:rsidR="0081137E">
        <w:t>section 7 c</w:t>
      </w:r>
      <w:r w:rsidR="00D57E87">
        <w:t xml:space="preserve">ase in the 15 years since </w:t>
      </w:r>
      <w:r w:rsidR="00D57E87" w:rsidRPr="00D57E87">
        <w:rPr>
          <w:i/>
        </w:rPr>
        <w:t>Gosselin</w:t>
      </w:r>
      <w:r w:rsidR="00D57E87">
        <w:t xml:space="preserve"> </w:t>
      </w:r>
      <w:r w:rsidR="006702EE">
        <w:t xml:space="preserve">was decided </w:t>
      </w:r>
      <w:r>
        <w:t xml:space="preserve">stands in sharp contrast to its approach </w:t>
      </w:r>
      <w:r w:rsidR="00CB73F4">
        <w:t xml:space="preserve">to the </w:t>
      </w:r>
      <w:r w:rsidR="00CB73F4" w:rsidRPr="00CB73F4">
        <w:rPr>
          <w:i/>
        </w:rPr>
        <w:t>Charter</w:t>
      </w:r>
      <w:r w:rsidR="00CB73F4">
        <w:t xml:space="preserve"> claim </w:t>
      </w:r>
      <w:r w:rsidR="00482853">
        <w:t>in</w:t>
      </w:r>
      <w:r w:rsidR="006702EE">
        <w:t xml:space="preserve"> </w:t>
      </w:r>
      <w:r w:rsidR="00153D7B" w:rsidRPr="00F65C74">
        <w:rPr>
          <w:i/>
        </w:rPr>
        <w:t xml:space="preserve">Chaoulli v </w:t>
      </w:r>
      <w:r w:rsidR="005D5A1C">
        <w:rPr>
          <w:i/>
        </w:rPr>
        <w:t>Québec</w:t>
      </w:r>
      <w:r w:rsidR="00153D7B" w:rsidRPr="00F65C74">
        <w:rPr>
          <w:i/>
        </w:rPr>
        <w:t xml:space="preserve"> (Attorney General)</w:t>
      </w:r>
      <w:r w:rsidR="00C12516">
        <w:t>.</w:t>
      </w:r>
      <w:r w:rsidR="00E07D16" w:rsidRPr="009A5AAB">
        <w:rPr>
          <w:vertAlign w:val="superscript"/>
        </w:rPr>
        <w:footnoteReference w:id="200"/>
      </w:r>
      <w:r w:rsidR="006702EE">
        <w:t xml:space="preserve"> </w:t>
      </w:r>
      <w:r w:rsidR="00C12516">
        <w:t xml:space="preserve"> The Appellants in</w:t>
      </w:r>
      <w:r w:rsidR="00482853">
        <w:t xml:space="preserve"> </w:t>
      </w:r>
      <w:r w:rsidR="00482853" w:rsidRPr="00482853">
        <w:rPr>
          <w:i/>
        </w:rPr>
        <w:t>Chaoulli</w:t>
      </w:r>
      <w:r w:rsidR="00C12516">
        <w:t xml:space="preserve">, </w:t>
      </w:r>
      <w:r w:rsidR="00F4319A">
        <w:t xml:space="preserve">an elderly patient who had experienced delays obtaining two hip replacements and </w:t>
      </w:r>
      <w:r w:rsidR="00C12516">
        <w:t xml:space="preserve">a </w:t>
      </w:r>
      <w:r w:rsidR="00C12516" w:rsidRPr="00C12516">
        <w:t xml:space="preserve">physician </w:t>
      </w:r>
      <w:r w:rsidR="004F36E9">
        <w:t xml:space="preserve">engaged in a long-running battle with the </w:t>
      </w:r>
      <w:r w:rsidR="00CB73F4">
        <w:t xml:space="preserve">province </w:t>
      </w:r>
      <w:r w:rsidR="004F36E9">
        <w:t xml:space="preserve">over </w:t>
      </w:r>
      <w:r w:rsidR="00C12516" w:rsidRPr="00C12516">
        <w:t xml:space="preserve">restrictions on </w:t>
      </w:r>
      <w:r w:rsidR="0011286A">
        <w:t xml:space="preserve">his ability to deliver </w:t>
      </w:r>
      <w:r w:rsidR="00C12516" w:rsidRPr="00C12516">
        <w:t>private care</w:t>
      </w:r>
      <w:r w:rsidR="00C12516">
        <w:t>,</w:t>
      </w:r>
      <w:r w:rsidR="00C12516" w:rsidRPr="009A5AAB">
        <w:rPr>
          <w:vertAlign w:val="superscript"/>
        </w:rPr>
        <w:footnoteReference w:id="201"/>
      </w:r>
      <w:r w:rsidR="00C12516">
        <w:t xml:space="preserve"> invoked</w:t>
      </w:r>
      <w:r w:rsidR="006702EE">
        <w:t xml:space="preserve"> section 7 not to </w:t>
      </w:r>
      <w:r w:rsidR="00F95C10">
        <w:t xml:space="preserve">defend </w:t>
      </w:r>
      <w:r w:rsidR="006702EE">
        <w:t xml:space="preserve">but to </w:t>
      </w:r>
      <w:r w:rsidR="0048439A">
        <w:t>undermin</w:t>
      </w:r>
      <w:r w:rsidR="006702EE">
        <w:t xml:space="preserve">e </w:t>
      </w:r>
      <w:r w:rsidR="0099523B">
        <w:t xml:space="preserve">the one socio-economic right that </w:t>
      </w:r>
      <w:r w:rsidR="00D1215A">
        <w:t xml:space="preserve">is widely recognized </w:t>
      </w:r>
      <w:r w:rsidR="00AC4AD0">
        <w:t xml:space="preserve">in Canada: </w:t>
      </w:r>
      <w:r w:rsidR="00D0601E">
        <w:t>access to health care based o</w:t>
      </w:r>
      <w:r>
        <w:t xml:space="preserve">n need </w:t>
      </w:r>
      <w:r w:rsidR="00D77094">
        <w:t xml:space="preserve">rather than </w:t>
      </w:r>
      <w:r>
        <w:t>ability to pay.</w:t>
      </w:r>
      <w:r w:rsidR="00C12516" w:rsidRPr="005104BC">
        <w:rPr>
          <w:vertAlign w:val="superscript"/>
        </w:rPr>
        <w:footnoteReference w:id="202"/>
      </w:r>
      <w:r>
        <w:t xml:space="preserve">  Although the</w:t>
      </w:r>
      <w:r w:rsidR="00CB73F4">
        <w:t xml:space="preserve"> </w:t>
      </w:r>
      <w:r w:rsidR="008F04BD">
        <w:t xml:space="preserve">claim in </w:t>
      </w:r>
      <w:r w:rsidR="008F04BD" w:rsidRPr="008F04BD">
        <w:rPr>
          <w:i/>
        </w:rPr>
        <w:t>Chaoulli</w:t>
      </w:r>
      <w:r w:rsidR="008F04BD">
        <w:t xml:space="preserve"> was unanimously rejected at trial and by the </w:t>
      </w:r>
      <w:r w:rsidR="005D5A1C">
        <w:t>Québec</w:t>
      </w:r>
      <w:r w:rsidR="00D77094">
        <w:t xml:space="preserve"> </w:t>
      </w:r>
      <w:r w:rsidR="008F04BD">
        <w:t xml:space="preserve">Court of Appeal, </w:t>
      </w:r>
      <w:r w:rsidR="00C1396D">
        <w:t xml:space="preserve">the Supreme Court granted </w:t>
      </w:r>
      <w:r w:rsidR="00C056D3">
        <w:t xml:space="preserve">the </w:t>
      </w:r>
      <w:r w:rsidR="008F04BD">
        <w:t xml:space="preserve">Appellants </w:t>
      </w:r>
      <w:r w:rsidR="00C1396D">
        <w:t>leave to appeal</w:t>
      </w:r>
      <w:r w:rsidR="00D57E87">
        <w:t xml:space="preserve">.  The majority </w:t>
      </w:r>
      <w:r w:rsidR="00C12516">
        <w:t xml:space="preserve">of the Court </w:t>
      </w:r>
      <w:r w:rsidR="00D57E87">
        <w:t>then</w:t>
      </w:r>
      <w:r w:rsidR="002C2013">
        <w:t xml:space="preserve"> </w:t>
      </w:r>
      <w:r w:rsidR="00BB219C">
        <w:t xml:space="preserve">set aside </w:t>
      </w:r>
      <w:r w:rsidR="0099523B">
        <w:t>the trial judge’s evidentiary findings</w:t>
      </w:r>
      <w:r w:rsidR="00D57E87">
        <w:t xml:space="preserve"> </w:t>
      </w:r>
      <w:r w:rsidR="00C1396D">
        <w:t>and</w:t>
      </w:r>
      <w:r w:rsidR="00153D7B">
        <w:t xml:space="preserve"> </w:t>
      </w:r>
      <w:r w:rsidR="0099523B">
        <w:t>reverse</w:t>
      </w:r>
      <w:r w:rsidR="00153D7B">
        <w:t>d</w:t>
      </w:r>
      <w:r w:rsidR="0099523B">
        <w:t xml:space="preserve"> the lower courts’ </w:t>
      </w:r>
      <w:r w:rsidR="008F04BD">
        <w:t xml:space="preserve">ruling </w:t>
      </w:r>
      <w:r w:rsidR="00482853">
        <w:t xml:space="preserve">that </w:t>
      </w:r>
      <w:r w:rsidR="005D5A1C">
        <w:t>Québec</w:t>
      </w:r>
      <w:r w:rsidR="00482853">
        <w:t>’s</w:t>
      </w:r>
      <w:r w:rsidR="00153D7B">
        <w:t xml:space="preserve"> </w:t>
      </w:r>
      <w:r w:rsidR="008C1946">
        <w:t>prohibit</w:t>
      </w:r>
      <w:r w:rsidR="00C1396D">
        <w:t>ion on private health insurance</w:t>
      </w:r>
      <w:r w:rsidR="008C1946">
        <w:t xml:space="preserve"> </w:t>
      </w:r>
      <w:r w:rsidR="00153D7B">
        <w:t>was constitutionally un</w:t>
      </w:r>
      <w:r w:rsidR="00F65C74">
        <w:t>objection</w:t>
      </w:r>
      <w:r w:rsidR="00153D7B">
        <w:t>able</w:t>
      </w:r>
      <w:r w:rsidR="005E655C">
        <w:t xml:space="preserve"> because it was designed to </w:t>
      </w:r>
      <w:r w:rsidR="005552B5">
        <w:t xml:space="preserve">safeguard </w:t>
      </w:r>
      <w:r w:rsidR="005E655C">
        <w:t>the publicly funded system upon which everyone, including those unable to pay for private care, relies</w:t>
      </w:r>
      <w:r w:rsidR="00BB219C">
        <w:t>.</w:t>
      </w:r>
      <w:r w:rsidR="00E07D16" w:rsidRPr="009A5AAB">
        <w:rPr>
          <w:vertAlign w:val="superscript"/>
        </w:rPr>
        <w:footnoteReference w:id="203"/>
      </w:r>
      <w:r w:rsidR="00153D7B" w:rsidRPr="00BB219C">
        <w:t xml:space="preserve">  </w:t>
      </w:r>
    </w:p>
    <w:p w:rsidR="00CB73F4" w:rsidRDefault="00D0601E" w:rsidP="00E4639D">
      <w:pPr>
        <w:spacing w:line="480" w:lineRule="auto"/>
        <w:ind w:firstLine="567"/>
      </w:pPr>
      <w:r>
        <w:t xml:space="preserve">In doing so, </w:t>
      </w:r>
      <w:r w:rsidR="00C12516">
        <w:t xml:space="preserve">unlike in </w:t>
      </w:r>
      <w:r w:rsidR="00C12516" w:rsidRPr="00C12516">
        <w:rPr>
          <w:i/>
        </w:rPr>
        <w:t>Gosselin</w:t>
      </w:r>
      <w:r w:rsidR="00C12516">
        <w:t xml:space="preserve">, </w:t>
      </w:r>
      <w:r w:rsidR="006F5571">
        <w:t xml:space="preserve">the </w:t>
      </w:r>
      <w:r w:rsidR="00405BE9">
        <w:t xml:space="preserve">majority </w:t>
      </w:r>
      <w:r w:rsidR="006F5571">
        <w:t xml:space="preserve">did not question </w:t>
      </w:r>
      <w:r w:rsidR="001F3437">
        <w:t xml:space="preserve">whether </w:t>
      </w:r>
      <w:r w:rsidR="006F5571">
        <w:t xml:space="preserve">the evidence </w:t>
      </w:r>
      <w:r w:rsidR="00AD27B5">
        <w:t xml:space="preserve">of </w:t>
      </w:r>
      <w:r w:rsidR="006F5571">
        <w:t xml:space="preserve">two individual </w:t>
      </w:r>
      <w:r w:rsidR="008F04BD">
        <w:t>claimant</w:t>
      </w:r>
      <w:r w:rsidR="006F5571">
        <w:t>s</w:t>
      </w:r>
      <w:r w:rsidR="00C12516">
        <w:t xml:space="preserve"> </w:t>
      </w:r>
      <w:r w:rsidR="00C6402E">
        <w:t xml:space="preserve">was sufficiently representative of </w:t>
      </w:r>
      <w:r w:rsidR="00AD27B5">
        <w:t xml:space="preserve">the </w:t>
      </w:r>
      <w:r w:rsidR="00E07D16">
        <w:t xml:space="preserve">impact </w:t>
      </w:r>
      <w:r w:rsidR="00482853">
        <w:t xml:space="preserve">on all </w:t>
      </w:r>
      <w:r w:rsidR="005D5A1C">
        <w:t>Québec</w:t>
      </w:r>
      <w:r w:rsidR="00482853">
        <w:t xml:space="preserve"> patients </w:t>
      </w:r>
      <w:r w:rsidR="00AD27B5">
        <w:t xml:space="preserve">of </w:t>
      </w:r>
      <w:r w:rsidR="00AC4AD0">
        <w:t xml:space="preserve">prohibiting private </w:t>
      </w:r>
      <w:r w:rsidR="00CE4FB5">
        <w:t>insurance</w:t>
      </w:r>
      <w:r w:rsidR="00C6402E">
        <w:t>.</w:t>
      </w:r>
      <w:r w:rsidR="00E07D16" w:rsidRPr="009A5AAB">
        <w:rPr>
          <w:vertAlign w:val="superscript"/>
        </w:rPr>
        <w:footnoteReference w:id="204"/>
      </w:r>
      <w:r w:rsidR="00C6402E">
        <w:t xml:space="preserve">  </w:t>
      </w:r>
      <w:r w:rsidR="002744BD">
        <w:t>No</w:t>
      </w:r>
      <w:r w:rsidR="00AD27B5">
        <w:t>r</w:t>
      </w:r>
      <w:r w:rsidR="00AC4AD0">
        <w:t xml:space="preserve"> </w:t>
      </w:r>
      <w:r w:rsidR="00AD27B5">
        <w:t xml:space="preserve">did </w:t>
      </w:r>
      <w:r w:rsidR="00405BE9">
        <w:t>i</w:t>
      </w:r>
      <w:r w:rsidR="00AD27B5">
        <w:t xml:space="preserve">t </w:t>
      </w:r>
      <w:r w:rsidR="0025317D">
        <w:t xml:space="preserve">doubt </w:t>
      </w:r>
      <w:r w:rsidR="001F3437">
        <w:t>the sufficiency of the evidence o</w:t>
      </w:r>
      <w:r w:rsidR="00C6402E">
        <w:t>f</w:t>
      </w:r>
      <w:r w:rsidR="00CE4FB5">
        <w:t xml:space="preserve"> the </w:t>
      </w:r>
      <w:r w:rsidR="006F5571">
        <w:t xml:space="preserve">single </w:t>
      </w:r>
      <w:r w:rsidR="008F04BD">
        <w:t xml:space="preserve">witness </w:t>
      </w:r>
      <w:r w:rsidR="00CE4FB5">
        <w:t>who</w:t>
      </w:r>
      <w:r w:rsidR="00AC4AD0">
        <w:t xml:space="preserve">, against the weight of </w:t>
      </w:r>
      <w:r w:rsidR="008F04BD">
        <w:t xml:space="preserve">expert </w:t>
      </w:r>
      <w:r w:rsidR="00AC4AD0">
        <w:t>opinion</w:t>
      </w:r>
      <w:r w:rsidR="00C12516">
        <w:t xml:space="preserve"> in the case</w:t>
      </w:r>
      <w:r w:rsidR="00AC4AD0">
        <w:t>,</w:t>
      </w:r>
      <w:r w:rsidR="00AC4AD0" w:rsidRPr="009A5AAB">
        <w:rPr>
          <w:vertAlign w:val="superscript"/>
        </w:rPr>
        <w:footnoteReference w:id="205"/>
      </w:r>
      <w:r w:rsidR="00CE4FB5">
        <w:t xml:space="preserve"> </w:t>
      </w:r>
      <w:r w:rsidR="00BF2221">
        <w:t xml:space="preserve">maintained </w:t>
      </w:r>
      <w:r w:rsidR="006F5571">
        <w:t xml:space="preserve">that allowing </w:t>
      </w:r>
      <w:r w:rsidR="00C12516">
        <w:t xml:space="preserve">parallel </w:t>
      </w:r>
      <w:r w:rsidR="006F5571">
        <w:t>private care would p</w:t>
      </w:r>
      <w:r w:rsidR="00AD27B5">
        <w:t>rovide a solution to wait times</w:t>
      </w:r>
      <w:r w:rsidR="006F5571">
        <w:t>.</w:t>
      </w:r>
      <w:r w:rsidR="00E07D16" w:rsidRPr="009A5AAB">
        <w:rPr>
          <w:vertAlign w:val="superscript"/>
        </w:rPr>
        <w:footnoteReference w:id="206"/>
      </w:r>
      <w:r w:rsidR="006F5571">
        <w:t xml:space="preserve">  </w:t>
      </w:r>
      <w:r w:rsidR="001F2797">
        <w:t xml:space="preserve">The majority </w:t>
      </w:r>
      <w:r w:rsidR="00F40B3F">
        <w:t>reject</w:t>
      </w:r>
      <w:r w:rsidR="001F2797">
        <w:t xml:space="preserve">ed Justice Delisle’s </w:t>
      </w:r>
      <w:r w:rsidR="00365104">
        <w:t>conclusion</w:t>
      </w:r>
      <w:r w:rsidR="001F2797">
        <w:t xml:space="preserve"> at the Court of Appeal</w:t>
      </w:r>
      <w:r w:rsidR="00B927B1" w:rsidRPr="009A5AAB">
        <w:rPr>
          <w:vertAlign w:val="superscript"/>
        </w:rPr>
        <w:footnoteReference w:id="207"/>
      </w:r>
      <w:r w:rsidR="001F2797">
        <w:t xml:space="preserve"> that the Appellants were </w:t>
      </w:r>
      <w:r w:rsidR="00CB73F4">
        <w:t>assert</w:t>
      </w:r>
      <w:r w:rsidR="001F2797">
        <w:t xml:space="preserve">ing </w:t>
      </w:r>
      <w:r w:rsidR="00D77094">
        <w:t>a</w:t>
      </w:r>
      <w:r w:rsidR="00514708">
        <w:t xml:space="preserve"> </w:t>
      </w:r>
      <w:r w:rsidR="001F2797">
        <w:t xml:space="preserve">right to buy private insurance </w:t>
      </w:r>
      <w:r w:rsidR="00514708">
        <w:t xml:space="preserve">– an economic right </w:t>
      </w:r>
      <w:r w:rsidR="001F2797">
        <w:t>that was excluded from section 7</w:t>
      </w:r>
      <w:r w:rsidR="00365104">
        <w:t xml:space="preserve"> of the </w:t>
      </w:r>
      <w:r w:rsidR="00365104" w:rsidRPr="00365104">
        <w:rPr>
          <w:i/>
        </w:rPr>
        <w:t>Charter</w:t>
      </w:r>
      <w:r w:rsidR="001F2797">
        <w:t>.</w:t>
      </w:r>
      <w:r w:rsidR="00B927B1" w:rsidRPr="009A5AAB">
        <w:rPr>
          <w:vertAlign w:val="superscript"/>
        </w:rPr>
        <w:footnoteReference w:id="208"/>
      </w:r>
      <w:r w:rsidR="00B927B1">
        <w:t xml:space="preserve"> </w:t>
      </w:r>
      <w:r w:rsidR="001F2797">
        <w:t xml:space="preserve"> </w:t>
      </w:r>
      <w:r w:rsidR="00BF2221">
        <w:t xml:space="preserve">The </w:t>
      </w:r>
      <w:r w:rsidR="00482853">
        <w:t>majority</w:t>
      </w:r>
      <w:r w:rsidR="00CE4FB5">
        <w:t xml:space="preserve"> did not </w:t>
      </w:r>
      <w:r w:rsidR="00E07D16">
        <w:t xml:space="preserve">suggest </w:t>
      </w:r>
      <w:r w:rsidR="00C12516">
        <w:t xml:space="preserve">the Appellants </w:t>
      </w:r>
      <w:r w:rsidR="00482853">
        <w:t xml:space="preserve">were asking the Court </w:t>
      </w:r>
      <w:r w:rsidR="008C1946">
        <w:t xml:space="preserve">to recognize </w:t>
      </w:r>
      <w:r w:rsidR="00365104">
        <w:t xml:space="preserve">a free-standing </w:t>
      </w:r>
      <w:r>
        <w:t>right to private health care</w:t>
      </w:r>
      <w:r w:rsidR="002C2013">
        <w:t>.</w:t>
      </w:r>
      <w:r w:rsidR="001D5DBE">
        <w:t xml:space="preserve">  </w:t>
      </w:r>
      <w:r w:rsidR="00BB219C">
        <w:t xml:space="preserve">Rather </w:t>
      </w:r>
      <w:r w:rsidR="00482853">
        <w:t xml:space="preserve">it </w:t>
      </w:r>
      <w:r w:rsidR="005E655C">
        <w:t>emphasiz</w:t>
      </w:r>
      <w:r w:rsidR="001D5DBE">
        <w:t>ed that the Appellan</w:t>
      </w:r>
      <w:r w:rsidR="00405BE9">
        <w:t xml:space="preserve">ts were </w:t>
      </w:r>
      <w:r w:rsidR="00D77094">
        <w:t>argu</w:t>
      </w:r>
      <w:r w:rsidR="00BB219C">
        <w:t xml:space="preserve">ing </w:t>
      </w:r>
      <w:r w:rsidR="00482853">
        <w:t xml:space="preserve">only </w:t>
      </w:r>
      <w:r w:rsidR="00405BE9">
        <w:t>that the</w:t>
      </w:r>
      <w:r w:rsidR="00C12516">
        <w:t>ir life, liberty and security of the person were threatened by</w:t>
      </w:r>
      <w:r w:rsidR="00405BE9">
        <w:t xml:space="preserve"> </w:t>
      </w:r>
      <w:r w:rsidR="005D5A1C">
        <w:t>Québec</w:t>
      </w:r>
      <w:r w:rsidR="002D3EA3">
        <w:t>’s</w:t>
      </w:r>
      <w:r w:rsidR="00E159CF">
        <w:t xml:space="preserve"> </w:t>
      </w:r>
      <w:r w:rsidR="00405BE9">
        <w:t xml:space="preserve">prohibition on private </w:t>
      </w:r>
      <w:r w:rsidR="00D1215A">
        <w:t xml:space="preserve">health </w:t>
      </w:r>
      <w:r w:rsidR="00405BE9">
        <w:t>insurance</w:t>
      </w:r>
      <w:r w:rsidR="0099523B">
        <w:t>.</w:t>
      </w:r>
      <w:r w:rsidR="003F5FA6" w:rsidRPr="009A5AAB">
        <w:rPr>
          <w:vertAlign w:val="superscript"/>
        </w:rPr>
        <w:footnoteReference w:id="209"/>
      </w:r>
    </w:p>
    <w:p w:rsidR="008C1946" w:rsidRDefault="00F81F49" w:rsidP="00E4639D">
      <w:pPr>
        <w:spacing w:line="480" w:lineRule="auto"/>
        <w:ind w:firstLine="567"/>
      </w:pPr>
      <w:r>
        <w:t xml:space="preserve"> </w:t>
      </w:r>
      <w:r w:rsidR="00153D7B">
        <w:t xml:space="preserve"> </w:t>
      </w:r>
      <w:r w:rsidR="008C1946">
        <w:t xml:space="preserve">The </w:t>
      </w:r>
      <w:r w:rsidR="00BF2221">
        <w:t xml:space="preserve">majority </w:t>
      </w:r>
      <w:r w:rsidR="00CB73F4">
        <w:t xml:space="preserve">in </w:t>
      </w:r>
      <w:r w:rsidR="00CB73F4" w:rsidRPr="00CB73F4">
        <w:rPr>
          <w:i/>
        </w:rPr>
        <w:t>Chaoulli</w:t>
      </w:r>
      <w:r w:rsidR="00CB73F4">
        <w:t xml:space="preserve"> </w:t>
      </w:r>
      <w:r w:rsidR="008C1946">
        <w:t>was unconcerned by issues of justiciability or institutional competence</w:t>
      </w:r>
      <w:r w:rsidR="00E159CF">
        <w:t xml:space="preserve"> raised by the Appellants’ challenge to the single-payer health care system</w:t>
      </w:r>
      <w:r w:rsidR="008C1946">
        <w:t xml:space="preserve">.  As Chief Justice </w:t>
      </w:r>
      <w:r w:rsidR="0025317D">
        <w:t xml:space="preserve">McLachlin </w:t>
      </w:r>
      <w:r w:rsidR="008C1946">
        <w:t>affirmed:</w:t>
      </w:r>
    </w:p>
    <w:p w:rsidR="003F5FA6" w:rsidRDefault="008C1946" w:rsidP="00CB73F4">
      <w:pPr>
        <w:spacing w:line="240" w:lineRule="auto"/>
        <w:ind w:left="567" w:right="567"/>
      </w:pPr>
      <w:r w:rsidRPr="008C1946">
        <w:t xml:space="preserve">While the decision about the type of health care system </w:t>
      </w:r>
      <w:r w:rsidR="005D5A1C">
        <w:t>Québec</w:t>
      </w:r>
      <w:r w:rsidRPr="008C1946">
        <w:t xml:space="preserve"> should adopt falls to the Legislature of that province, the resulting legislation, like all laws, is subject to constitutional limits, i</w:t>
      </w:r>
      <w:r>
        <w:t xml:space="preserve">ncluding those imposed by s. 7 of the </w:t>
      </w:r>
      <w:r w:rsidRPr="008C1946">
        <w:rPr>
          <w:i/>
        </w:rPr>
        <w:t>Charter</w:t>
      </w:r>
      <w:r w:rsidRPr="008C1946">
        <w:t xml:space="preserve">.  The fact that the matter is complex, contentious or laden with social values does not mean that the courts can abdicate the responsibility vested in them by our Constitution to </w:t>
      </w:r>
      <w:r>
        <w:t xml:space="preserve">review legislation for </w:t>
      </w:r>
      <w:r w:rsidRPr="008C1946">
        <w:rPr>
          <w:i/>
        </w:rPr>
        <w:t>Charter</w:t>
      </w:r>
      <w:r>
        <w:t xml:space="preserve"> </w:t>
      </w:r>
      <w:r w:rsidRPr="008C1946">
        <w:t>compliance when citizens challenge it.</w:t>
      </w:r>
      <w:r w:rsidR="003F5FA6" w:rsidRPr="009A5AAB">
        <w:rPr>
          <w:vertAlign w:val="superscript"/>
        </w:rPr>
        <w:footnoteReference w:id="210"/>
      </w:r>
    </w:p>
    <w:p w:rsidR="00CB73F4" w:rsidRDefault="00CB73F4" w:rsidP="00CB73F4">
      <w:pPr>
        <w:spacing w:line="240" w:lineRule="auto"/>
        <w:ind w:left="567" w:right="567"/>
      </w:pPr>
    </w:p>
    <w:p w:rsidR="000E0E31" w:rsidRDefault="006F5571" w:rsidP="003F5FA6">
      <w:pPr>
        <w:spacing w:line="480" w:lineRule="auto"/>
      </w:pPr>
      <w:r>
        <w:t xml:space="preserve">The result was a </w:t>
      </w:r>
      <w:r w:rsidR="003F5FA6">
        <w:t xml:space="preserve">Supreme Court </w:t>
      </w:r>
      <w:r w:rsidR="00212583">
        <w:t xml:space="preserve">decision </w:t>
      </w:r>
      <w:r>
        <w:t xml:space="preserve">highly prejudicial to the </w:t>
      </w:r>
      <w:r w:rsidR="00D76AD0" w:rsidRPr="00D76AD0">
        <w:rPr>
          <w:i/>
        </w:rPr>
        <w:t>Charter</w:t>
      </w:r>
      <w:r w:rsidR="00BF2221">
        <w:t xml:space="preserve"> </w:t>
      </w:r>
      <w:r w:rsidR="00DC0604">
        <w:t xml:space="preserve">rights and </w:t>
      </w:r>
      <w:r w:rsidR="00D76AD0">
        <w:t>health i</w:t>
      </w:r>
      <w:r w:rsidR="00DC0604">
        <w:t xml:space="preserve">nterests </w:t>
      </w:r>
      <w:r w:rsidR="00734C3A">
        <w:t xml:space="preserve">of people living in poverty.  </w:t>
      </w:r>
      <w:r w:rsidR="00D76AD0">
        <w:t xml:space="preserve">Disregarding the evidence of the negative impact of striking down the ban on private insurance for </w:t>
      </w:r>
      <w:r w:rsidR="00627949">
        <w:t xml:space="preserve">those who </w:t>
      </w:r>
      <w:r w:rsidR="005E655C">
        <w:t xml:space="preserve">depend </w:t>
      </w:r>
      <w:r w:rsidR="00627949">
        <w:t>on the publicly funded system</w:t>
      </w:r>
      <w:r w:rsidR="00D76AD0">
        <w:t>,</w:t>
      </w:r>
      <w:r w:rsidR="00D76AD0" w:rsidRPr="009A5AAB">
        <w:rPr>
          <w:vertAlign w:val="superscript"/>
        </w:rPr>
        <w:footnoteReference w:id="211"/>
      </w:r>
      <w:r w:rsidR="00D76AD0">
        <w:t xml:space="preserve"> t</w:t>
      </w:r>
      <w:r w:rsidR="00BF2221">
        <w:t xml:space="preserve">he </w:t>
      </w:r>
      <w:r w:rsidR="00EC48D0">
        <w:t xml:space="preserve">majority </w:t>
      </w:r>
      <w:r w:rsidR="00D76AD0">
        <w:t xml:space="preserve">granted a remedy available only to </w:t>
      </w:r>
      <w:r w:rsidR="000E0E31">
        <w:t xml:space="preserve">individuals who could afford to buy </w:t>
      </w:r>
      <w:r w:rsidR="00627949">
        <w:t xml:space="preserve">private </w:t>
      </w:r>
      <w:r w:rsidR="00E159CF">
        <w:t>insurance to</w:t>
      </w:r>
      <w:r w:rsidR="000E0E31">
        <w:t xml:space="preserve"> </w:t>
      </w:r>
      <w:r w:rsidR="00D76AD0">
        <w:t>jump the public queue</w:t>
      </w:r>
      <w:r w:rsidR="00CB73F4">
        <w:t>.</w:t>
      </w:r>
      <w:r w:rsidR="006069DC" w:rsidRPr="009A5AAB">
        <w:rPr>
          <w:vertAlign w:val="superscript"/>
        </w:rPr>
        <w:footnoteReference w:id="212"/>
      </w:r>
      <w:r w:rsidR="00CB73F4">
        <w:t xml:space="preserve">  The </w:t>
      </w:r>
      <w:r w:rsidR="006069DC">
        <w:t xml:space="preserve">majority’s ruling in </w:t>
      </w:r>
      <w:r w:rsidR="006069DC" w:rsidRPr="006069DC">
        <w:rPr>
          <w:i/>
        </w:rPr>
        <w:t>Chaoulli</w:t>
      </w:r>
      <w:r w:rsidR="006069DC">
        <w:t xml:space="preserve"> appeared to suggest </w:t>
      </w:r>
      <w:r w:rsidR="00CB73F4">
        <w:t xml:space="preserve">that, </w:t>
      </w:r>
      <w:r w:rsidR="006069DC">
        <w:t xml:space="preserve">while section 7 does not guarantee </w:t>
      </w:r>
      <w:r w:rsidR="00D76AD0">
        <w:t xml:space="preserve">access to health </w:t>
      </w:r>
      <w:r w:rsidR="005F0EF4">
        <w:t xml:space="preserve">care based </w:t>
      </w:r>
      <w:r w:rsidR="00BB219C">
        <w:t xml:space="preserve">need, </w:t>
      </w:r>
      <w:r w:rsidR="006069DC">
        <w:t xml:space="preserve">it </w:t>
      </w:r>
      <w:r w:rsidR="00BB219C">
        <w:t xml:space="preserve">does </w:t>
      </w:r>
      <w:r w:rsidR="006069DC">
        <w:t xml:space="preserve">ensure </w:t>
      </w:r>
      <w:r w:rsidR="00D76AD0">
        <w:t xml:space="preserve">a right to health care based on </w:t>
      </w:r>
      <w:r w:rsidR="005F0EF4">
        <w:t>ability to pay</w:t>
      </w:r>
      <w:r w:rsidR="00D76AD0">
        <w:t>.</w:t>
      </w:r>
      <w:r w:rsidR="00D76AD0" w:rsidRPr="009A5AAB">
        <w:rPr>
          <w:vertAlign w:val="superscript"/>
        </w:rPr>
        <w:footnoteReference w:id="213"/>
      </w:r>
    </w:p>
    <w:p w:rsidR="00D86632" w:rsidRDefault="001D5DBE" w:rsidP="00D86632">
      <w:pPr>
        <w:spacing w:line="480" w:lineRule="auto"/>
        <w:ind w:firstLine="720"/>
      </w:pPr>
      <w:r>
        <w:t xml:space="preserve">In this context, </w:t>
      </w:r>
      <w:bookmarkStart w:id="18" w:name="_Hlk495919345"/>
      <w:r>
        <w:t>the Supreme Court</w:t>
      </w:r>
      <w:r w:rsidR="006518F9">
        <w:t>’s failure to grant leave to appeal in</w:t>
      </w:r>
      <w:r>
        <w:t xml:space="preserve"> </w:t>
      </w:r>
      <w:r w:rsidRPr="001D5DBE">
        <w:rPr>
          <w:i/>
        </w:rPr>
        <w:t>Tanudjaja</w:t>
      </w:r>
      <w:r w:rsidR="00B17533">
        <w:t>,</w:t>
      </w:r>
      <w:r>
        <w:t xml:space="preserve"> and to finally revisit its decision in </w:t>
      </w:r>
      <w:r w:rsidRPr="002C2013">
        <w:rPr>
          <w:i/>
        </w:rPr>
        <w:t>Gosselin</w:t>
      </w:r>
      <w:r w:rsidR="00B17533">
        <w:t>,</w:t>
      </w:r>
      <w:r>
        <w:t xml:space="preserve"> represents </w:t>
      </w:r>
      <w:r w:rsidR="006518F9">
        <w:t xml:space="preserve">clear </w:t>
      </w:r>
      <w:r>
        <w:t xml:space="preserve">a failure of constitutionalism.  </w:t>
      </w:r>
      <w:r w:rsidR="003A4C09">
        <w:t xml:space="preserve">As the Charter Committee Coalition argued </w:t>
      </w:r>
      <w:r w:rsidR="006518F9">
        <w:t>in its intervention before</w:t>
      </w:r>
      <w:r w:rsidR="003A4C09">
        <w:t xml:space="preserve"> the Ontario Court of Appeal</w:t>
      </w:r>
      <w:r w:rsidR="006518F9">
        <w:t xml:space="preserve"> in </w:t>
      </w:r>
      <w:r w:rsidR="006518F9" w:rsidRPr="006518F9">
        <w:rPr>
          <w:i/>
        </w:rPr>
        <w:t>Tanudjaja</w:t>
      </w:r>
      <w:r w:rsidR="00212583">
        <w:t>,</w:t>
      </w:r>
      <w:r w:rsidR="003A4C09">
        <w:t xml:space="preserve"> </w:t>
      </w:r>
      <w:r w:rsidR="000E0E31">
        <w:t xml:space="preserve">the issues raised </w:t>
      </w:r>
      <w:r w:rsidR="006518F9">
        <w:t>in</w:t>
      </w:r>
      <w:r w:rsidR="00B17533">
        <w:t xml:space="preserve"> the section 7 </w:t>
      </w:r>
      <w:r w:rsidR="00E159CF" w:rsidRPr="00E159CF">
        <w:rPr>
          <w:i/>
        </w:rPr>
        <w:t>Charter</w:t>
      </w:r>
      <w:r w:rsidR="00E159CF">
        <w:t xml:space="preserve"> </w:t>
      </w:r>
      <w:r w:rsidR="00B17533">
        <w:t>claims of people living in poverty:</w:t>
      </w:r>
    </w:p>
    <w:p w:rsidR="003A4C09" w:rsidRDefault="00346AEC" w:rsidP="00346AEC">
      <w:pPr>
        <w:spacing w:line="240" w:lineRule="auto"/>
        <w:ind w:left="567" w:right="567"/>
      </w:pPr>
      <w:r>
        <w:t xml:space="preserve">… </w:t>
      </w:r>
      <w:r w:rsidR="003A4C09">
        <w:t xml:space="preserve">bear directly on the relationship between members of the most marginalized groups in Canadian society and the constitutional rights and values that underpin Canada’s constitutional democracy … The courts have a constitutional mandate to interpret and apply the </w:t>
      </w:r>
      <w:r w:rsidR="003A4C09" w:rsidRPr="003A4C09">
        <w:rPr>
          <w:i/>
        </w:rPr>
        <w:t>Charter</w:t>
      </w:r>
      <w:r w:rsidR="003A4C09">
        <w:t xml:space="preserve"> in a manner that secures every individual in Canada the full benefit of the </w:t>
      </w:r>
      <w:r w:rsidR="003A4C09" w:rsidRPr="00D86632">
        <w:rPr>
          <w:i/>
        </w:rPr>
        <w:t>Charter</w:t>
      </w:r>
      <w:r w:rsidR="003A4C09">
        <w:t xml:space="preserve">’s protection.  This, rather than any preconceived idea of what kinds of issues (and, by definition what types of claimants) belong in the courtroom should be the starting point of any </w:t>
      </w:r>
      <w:r w:rsidR="003A4C09" w:rsidRPr="003A4C09">
        <w:rPr>
          <w:i/>
        </w:rPr>
        <w:t>Charter</w:t>
      </w:r>
      <w:r w:rsidR="003A4C09">
        <w:t xml:space="preserve"> analysis.</w:t>
      </w:r>
      <w:r w:rsidRPr="005104BC">
        <w:rPr>
          <w:vertAlign w:val="superscript"/>
        </w:rPr>
        <w:footnoteReference w:id="214"/>
      </w:r>
    </w:p>
    <w:p w:rsidR="00A2649D" w:rsidRDefault="00A2649D" w:rsidP="00A2649D">
      <w:pPr>
        <w:spacing w:line="480" w:lineRule="auto"/>
      </w:pPr>
    </w:p>
    <w:p w:rsidR="00212583" w:rsidRPr="00212583" w:rsidRDefault="00212583" w:rsidP="00212583">
      <w:pPr>
        <w:pStyle w:val="Paragraphedeliste"/>
        <w:numPr>
          <w:ilvl w:val="0"/>
          <w:numId w:val="20"/>
        </w:numPr>
        <w:spacing w:line="480" w:lineRule="auto"/>
        <w:rPr>
          <w:b/>
        </w:rPr>
      </w:pPr>
      <w:r w:rsidRPr="00212583">
        <w:rPr>
          <w:b/>
        </w:rPr>
        <w:t>CONCLUSION</w:t>
      </w:r>
    </w:p>
    <w:bookmarkEnd w:id="18"/>
    <w:p w:rsidR="00212583" w:rsidRDefault="00212583" w:rsidP="00212583">
      <w:pPr>
        <w:spacing w:line="480" w:lineRule="auto"/>
        <w:ind w:firstLine="720"/>
      </w:pPr>
      <w:r>
        <w:t xml:space="preserve">In the </w:t>
      </w:r>
      <w:r w:rsidRPr="00212583">
        <w:rPr>
          <w:i/>
        </w:rPr>
        <w:t>Tanudjaja</w:t>
      </w:r>
      <w:r>
        <w:t xml:space="preserve"> case, a single judge on a motion to strike </w:t>
      </w:r>
      <w:r w:rsidR="006069DC">
        <w:t>essential</w:t>
      </w:r>
      <w:r>
        <w:t>ly overruled the Supreme Court of Canada, declaring:</w:t>
      </w:r>
    </w:p>
    <w:p w:rsidR="00627949" w:rsidRDefault="00212583" w:rsidP="00A67AF6">
      <w:pPr>
        <w:spacing w:line="240" w:lineRule="auto"/>
        <w:ind w:left="567" w:right="567"/>
      </w:pPr>
      <w:r>
        <w:t xml:space="preserve">The law is established.  As it presently stands there can be no positive obligation on Canada and Ontario to put in place programs that are directed to overcoming concerns for the “life, liberty and security of the person … The majority in </w:t>
      </w:r>
      <w:r w:rsidRPr="00212583">
        <w:rPr>
          <w:i/>
        </w:rPr>
        <w:t>Gosselin</w:t>
      </w:r>
      <w:r>
        <w:t xml:space="preserve"> does not depart from this view.  It confirms what has been understood since the early days of the </w:t>
      </w:r>
      <w:r w:rsidRPr="00212583">
        <w:rPr>
          <w:i/>
        </w:rPr>
        <w:t>Charter</w:t>
      </w:r>
      <w:r>
        <w:t>.</w:t>
      </w:r>
    </w:p>
    <w:p w:rsidR="00A67AF6" w:rsidRDefault="00A67AF6" w:rsidP="00A67AF6">
      <w:pPr>
        <w:spacing w:line="240" w:lineRule="auto"/>
        <w:ind w:left="567" w:right="567"/>
      </w:pPr>
    </w:p>
    <w:p w:rsidR="002E03EF" w:rsidRDefault="00475188" w:rsidP="002E03EF">
      <w:pPr>
        <w:spacing w:line="480" w:lineRule="auto"/>
      </w:pPr>
      <w:r>
        <w:t>N</w:t>
      </w:r>
      <w:r w:rsidR="00627949" w:rsidRPr="00627949">
        <w:t xml:space="preserve">otwithstanding the doctrinal </w:t>
      </w:r>
      <w:r w:rsidR="00146DFB">
        <w:t xml:space="preserve">significance </w:t>
      </w:r>
      <w:r w:rsidR="00627949" w:rsidRPr="00627949">
        <w:t xml:space="preserve">and access to justice </w:t>
      </w:r>
      <w:r w:rsidR="00482853">
        <w:t>consequence</w:t>
      </w:r>
      <w:r w:rsidR="00627949" w:rsidRPr="00627949">
        <w:t xml:space="preserve">s of allowing Justice Lederer’s </w:t>
      </w:r>
      <w:r w:rsidR="00E159CF">
        <w:t xml:space="preserve">ruling </w:t>
      </w:r>
      <w:r w:rsidR="00627949" w:rsidRPr="00627949">
        <w:t xml:space="preserve">to stand, the Supreme Court refused leave to appeal the </w:t>
      </w:r>
      <w:r w:rsidR="00627949" w:rsidRPr="00627949">
        <w:rPr>
          <w:i/>
        </w:rPr>
        <w:t>Tanudjaja</w:t>
      </w:r>
      <w:r w:rsidR="00627949">
        <w:t xml:space="preserve"> decision.  </w:t>
      </w:r>
      <w:r w:rsidR="00B17533">
        <w:t xml:space="preserve">The </w:t>
      </w:r>
      <w:r w:rsidR="00D86632">
        <w:t xml:space="preserve">experience of </w:t>
      </w:r>
      <w:r w:rsidR="00D86632" w:rsidRPr="00346AEC">
        <w:rPr>
          <w:i/>
        </w:rPr>
        <w:t>Charter</w:t>
      </w:r>
      <w:r w:rsidR="00D86632">
        <w:t xml:space="preserve"> claimants </w:t>
      </w:r>
      <w:r w:rsidR="00346AEC">
        <w:t xml:space="preserve">in poverty-related cases </w:t>
      </w:r>
      <w:r w:rsidR="00B17533">
        <w:t xml:space="preserve">before and since </w:t>
      </w:r>
      <w:r w:rsidR="00B17533" w:rsidRPr="00B17533">
        <w:rPr>
          <w:i/>
        </w:rPr>
        <w:t>Gosselin</w:t>
      </w:r>
      <w:r w:rsidR="00F40B3F">
        <w:t>,</w:t>
      </w:r>
      <w:r w:rsidR="00212583">
        <w:t xml:space="preserve"> culminating i</w:t>
      </w:r>
      <w:r w:rsidR="00B17533">
        <w:t xml:space="preserve">n </w:t>
      </w:r>
      <w:r w:rsidR="00146DFB">
        <w:t xml:space="preserve">the </w:t>
      </w:r>
      <w:r w:rsidR="003D4EBE">
        <w:t xml:space="preserve">motion </w:t>
      </w:r>
      <w:r>
        <w:t xml:space="preserve">to strike in </w:t>
      </w:r>
      <w:r w:rsidR="00212583" w:rsidRPr="00B17533">
        <w:rPr>
          <w:i/>
        </w:rPr>
        <w:t>Tanudjaja</w:t>
      </w:r>
      <w:r w:rsidR="00346AEC">
        <w:t>,</w:t>
      </w:r>
      <w:r w:rsidR="00D86632">
        <w:t xml:space="preserve"> </w:t>
      </w:r>
      <w:r w:rsidR="00F40B3F">
        <w:t xml:space="preserve">is one of constitutional exclusion – </w:t>
      </w:r>
      <w:r w:rsidR="00D86632">
        <w:t xml:space="preserve">the </w:t>
      </w:r>
      <w:r w:rsidR="003F610D">
        <w:t>Supreme C</w:t>
      </w:r>
      <w:r w:rsidR="00F40B3F">
        <w:t>ourt’s approach to section 7 having effectively</w:t>
      </w:r>
      <w:r w:rsidR="003F610D">
        <w:t xml:space="preserve"> immunized an entire sphere of government action from </w:t>
      </w:r>
      <w:r w:rsidR="003F610D" w:rsidRPr="003A4C09">
        <w:rPr>
          <w:i/>
        </w:rPr>
        <w:t>Charter</w:t>
      </w:r>
      <w:r w:rsidR="003F610D">
        <w:t xml:space="preserve"> review.  </w:t>
      </w:r>
      <w:r w:rsidR="00623A54">
        <w:t xml:space="preserve">By imposing </w:t>
      </w:r>
      <w:r w:rsidR="005E655C">
        <w:t xml:space="preserve">discriminatory evidentiary burdens on </w:t>
      </w:r>
      <w:r w:rsidR="00F40B3F">
        <w:t xml:space="preserve">those </w:t>
      </w:r>
      <w:r w:rsidR="008703AD">
        <w:t>challenging government action and inaction leading to hunger, povert</w:t>
      </w:r>
      <w:r w:rsidR="00F40B3F">
        <w:t>y and homelessness</w:t>
      </w:r>
      <w:r w:rsidR="00A67AF6">
        <w:t xml:space="preserve">, and in some cases </w:t>
      </w:r>
      <w:r w:rsidR="005E655C">
        <w:t xml:space="preserve">ignoring their experience and evidence outright, </w:t>
      </w:r>
      <w:r w:rsidR="00F40B3F">
        <w:t>and by characteriz</w:t>
      </w:r>
      <w:r w:rsidR="008703AD">
        <w:t xml:space="preserve">ing </w:t>
      </w:r>
      <w:r w:rsidR="00F40B3F">
        <w:t xml:space="preserve">their </w:t>
      </w:r>
      <w:r w:rsidR="005E655C">
        <w:t xml:space="preserve">constitutional </w:t>
      </w:r>
      <w:r w:rsidR="00F40B3F">
        <w:t xml:space="preserve">arguments </w:t>
      </w:r>
      <w:r w:rsidR="00623A54">
        <w:t xml:space="preserve">as non-justiciable demands </w:t>
      </w:r>
      <w:r w:rsidR="008703AD">
        <w:t xml:space="preserve">for free-standing </w:t>
      </w:r>
      <w:r w:rsidR="00623A54">
        <w:t>rights</w:t>
      </w:r>
      <w:r w:rsidR="008E5C6D">
        <w:t xml:space="preserve"> </w:t>
      </w:r>
      <w:r w:rsidR="00B17533">
        <w:t>not found i</w:t>
      </w:r>
      <w:r w:rsidR="008E5C6D">
        <w:t xml:space="preserve">n the </w:t>
      </w:r>
      <w:r w:rsidR="008E5C6D" w:rsidRPr="008E5C6D">
        <w:rPr>
          <w:i/>
        </w:rPr>
        <w:t>Charter</w:t>
      </w:r>
      <w:r w:rsidR="00623A54">
        <w:t xml:space="preserve">, the courts </w:t>
      </w:r>
      <w:r w:rsidR="00B17533">
        <w:t xml:space="preserve">have </w:t>
      </w:r>
      <w:r w:rsidR="00F46062">
        <w:t>e</w:t>
      </w:r>
      <w:r w:rsidR="00E159CF">
        <w:t>recte</w:t>
      </w:r>
      <w:r w:rsidR="00F46062">
        <w:t>d</w:t>
      </w:r>
      <w:r w:rsidR="00E159CF">
        <w:t xml:space="preserve"> a nearly impenetrable barrier to the </w:t>
      </w:r>
      <w:r w:rsidR="008E5C6D">
        <w:t xml:space="preserve">life, liberty and security of the person </w:t>
      </w:r>
      <w:r w:rsidR="00623A54">
        <w:t xml:space="preserve">claims </w:t>
      </w:r>
      <w:r w:rsidR="008E5C6D">
        <w:t>of people living in poverty</w:t>
      </w:r>
      <w:r w:rsidR="00623A54">
        <w:t xml:space="preserve">.  </w:t>
      </w:r>
      <w:r>
        <w:t xml:space="preserve">In those too </w:t>
      </w:r>
      <w:r w:rsidR="00931D32">
        <w:t xml:space="preserve">few </w:t>
      </w:r>
      <w:r w:rsidR="00F40B3F" w:rsidRPr="00F40B3F">
        <w:rPr>
          <w:i/>
        </w:rPr>
        <w:t>Charter</w:t>
      </w:r>
      <w:r w:rsidR="00F40B3F">
        <w:t xml:space="preserve"> </w:t>
      </w:r>
      <w:r w:rsidR="00931D32">
        <w:t xml:space="preserve">cases </w:t>
      </w:r>
      <w:r w:rsidR="00F40B3F">
        <w:t xml:space="preserve">in which the </w:t>
      </w:r>
      <w:r w:rsidR="00931D32">
        <w:t xml:space="preserve">poverty-related </w:t>
      </w:r>
      <w:r w:rsidR="00F40B3F">
        <w:t xml:space="preserve">claims </w:t>
      </w:r>
      <w:r>
        <w:t xml:space="preserve">been accepted by the courts, it is precisely because they fit a negative rights paradigm and demand only </w:t>
      </w:r>
      <w:r w:rsidR="00482853">
        <w:t xml:space="preserve">that </w:t>
      </w:r>
      <w:r>
        <w:t>government</w:t>
      </w:r>
      <w:r w:rsidR="00F40B3F">
        <w:t>s</w:t>
      </w:r>
      <w:r w:rsidR="00482853">
        <w:t xml:space="preserve"> do nothing</w:t>
      </w:r>
      <w:r>
        <w:t>.</w:t>
      </w:r>
      <w:r w:rsidR="002E03EF">
        <w:t xml:space="preserve">  </w:t>
      </w:r>
    </w:p>
    <w:p w:rsidR="00CC39BF" w:rsidRDefault="00F40B3F" w:rsidP="00BA59EF">
      <w:pPr>
        <w:spacing w:line="480" w:lineRule="auto"/>
        <w:ind w:firstLine="720"/>
      </w:pPr>
      <w:r>
        <w:t>I</w:t>
      </w:r>
      <w:r w:rsidR="002E03EF">
        <w:t xml:space="preserve">n the 2008 </w:t>
      </w:r>
      <w:r w:rsidR="002E03EF" w:rsidRPr="002E03EF">
        <w:rPr>
          <w:i/>
        </w:rPr>
        <w:t>Victoria (City) v Adams</w:t>
      </w:r>
      <w:r w:rsidR="00666138" w:rsidRPr="009A5AAB">
        <w:rPr>
          <w:vertAlign w:val="superscript"/>
        </w:rPr>
        <w:footnoteReference w:id="215"/>
      </w:r>
      <w:r w:rsidR="002E03EF" w:rsidRPr="002E03EF">
        <w:t xml:space="preserve"> </w:t>
      </w:r>
      <w:r>
        <w:t>case</w:t>
      </w:r>
      <w:r w:rsidR="002E03EF">
        <w:t xml:space="preserve"> </w:t>
      </w:r>
      <w:r>
        <w:t xml:space="preserve">for instance, </w:t>
      </w:r>
      <w:r w:rsidR="002E03EF">
        <w:t xml:space="preserve">the </w:t>
      </w:r>
      <w:r w:rsidR="002D3EA3">
        <w:t xml:space="preserve">homeless </w:t>
      </w:r>
      <w:r w:rsidR="002E03EF">
        <w:t>residents of a tent city in Vic</w:t>
      </w:r>
      <w:r w:rsidR="00790FB0">
        <w:t xml:space="preserve">toria </w:t>
      </w:r>
      <w:r w:rsidR="00666138">
        <w:t xml:space="preserve">were successful in their section 7 challenge </w:t>
      </w:r>
      <w:r w:rsidR="00790FB0">
        <w:t xml:space="preserve">to a </w:t>
      </w:r>
      <w:r w:rsidR="00666138">
        <w:t xml:space="preserve">municipal </w:t>
      </w:r>
      <w:r w:rsidR="00790FB0">
        <w:t>bylaw prohibiting</w:t>
      </w:r>
      <w:r w:rsidR="002E03EF">
        <w:t xml:space="preserve"> them from erecting temporary structures in public parks at night.</w:t>
      </w:r>
      <w:r w:rsidR="00790FB0" w:rsidRPr="009A5AAB">
        <w:rPr>
          <w:vertAlign w:val="superscript"/>
        </w:rPr>
        <w:footnoteReference w:id="216"/>
      </w:r>
      <w:r w:rsidR="002E03EF">
        <w:t xml:space="preserve">  At trial, Justice Ross found that the shortage of shelter spaces in Victoria meant that “hundreds of people are left to sleep in public places in the City”</w:t>
      </w:r>
      <w:r w:rsidR="00790FB0" w:rsidRPr="009A5AAB">
        <w:rPr>
          <w:vertAlign w:val="superscript"/>
        </w:rPr>
        <w:footnoteReference w:id="217"/>
      </w:r>
      <w:r w:rsidR="002E03EF">
        <w:t xml:space="preserve"> and that the government’s interference with homeless people’s ability to provide themselves with temporary shelter exposed them to a risk of serious harm, including </w:t>
      </w:r>
      <w:r w:rsidR="00666138">
        <w:t>death by hypothermia.  I</w:t>
      </w:r>
      <w:r w:rsidR="002E03EF">
        <w:t xml:space="preserve">n </w:t>
      </w:r>
      <w:r w:rsidR="00A67AF6">
        <w:t xml:space="preserve">deciding </w:t>
      </w:r>
      <w:r w:rsidR="007920F1">
        <w:t xml:space="preserve">that the bylaw violated </w:t>
      </w:r>
      <w:r w:rsidR="00311F97">
        <w:t>section 7</w:t>
      </w:r>
      <w:r w:rsidR="002E03EF">
        <w:t xml:space="preserve">, Justice Ross underscored the fact that </w:t>
      </w:r>
      <w:r w:rsidR="00482853">
        <w:t>the homeless claimants</w:t>
      </w:r>
      <w:r w:rsidR="007920F1">
        <w:t xml:space="preserve"> </w:t>
      </w:r>
      <w:r w:rsidR="002E03EF">
        <w:t xml:space="preserve">were </w:t>
      </w:r>
      <w:r w:rsidR="007920F1">
        <w:t>not arguing the government was required to</w:t>
      </w:r>
      <w:r w:rsidR="002E03EF">
        <w:t xml:space="preserve"> provide them with adequate shelter, but instead were challenging negative restrictions on their ability to shelter themselves, akin to the situation in </w:t>
      </w:r>
      <w:r w:rsidR="002E03EF" w:rsidRPr="002E03EF">
        <w:rPr>
          <w:i/>
        </w:rPr>
        <w:t>Chaoulli</w:t>
      </w:r>
      <w:r w:rsidR="002E03EF">
        <w:t>.</w:t>
      </w:r>
      <w:r w:rsidR="005B1C32" w:rsidRPr="009A5AAB">
        <w:rPr>
          <w:vertAlign w:val="superscript"/>
        </w:rPr>
        <w:footnoteReference w:id="218"/>
      </w:r>
      <w:r w:rsidR="002E03EF">
        <w:t xml:space="preserve">  In upholding Justice Ross’s ruling</w:t>
      </w:r>
      <w:r w:rsidR="00911A2A">
        <w:t xml:space="preserve"> striking down the </w:t>
      </w:r>
      <w:r w:rsidR="002D3EA3">
        <w:t xml:space="preserve">Victoria </w:t>
      </w:r>
      <w:r w:rsidR="00911A2A">
        <w:t>bylaw</w:t>
      </w:r>
      <w:r w:rsidR="0053180B">
        <w:t>, the</w:t>
      </w:r>
      <w:r w:rsidR="002E03EF">
        <w:t xml:space="preserve"> </w:t>
      </w:r>
      <w:r w:rsidR="00353A39">
        <w:t xml:space="preserve">B.C. </w:t>
      </w:r>
      <w:r w:rsidR="002E03EF">
        <w:t>Court of Appeal also emphasized that it was applying section 7 as a negative “restraint” on government action, rather than as a source of positive obligations to address the problem of homelessness or the rights of the homeless.</w:t>
      </w:r>
      <w:r w:rsidR="00790FB0" w:rsidRPr="009A5AAB">
        <w:rPr>
          <w:vertAlign w:val="superscript"/>
        </w:rPr>
        <w:footnoteReference w:id="219"/>
      </w:r>
      <w:r w:rsidR="00C00504">
        <w:t xml:space="preserve">  </w:t>
      </w:r>
    </w:p>
    <w:p w:rsidR="002E03EF" w:rsidRDefault="00DE6BCF" w:rsidP="00BA59EF">
      <w:pPr>
        <w:spacing w:line="480" w:lineRule="auto"/>
        <w:ind w:firstLine="720"/>
      </w:pPr>
      <w:r>
        <w:t xml:space="preserve">Examining the </w:t>
      </w:r>
      <w:r w:rsidR="00CC39BF">
        <w:t xml:space="preserve">role </w:t>
      </w:r>
      <w:r>
        <w:t xml:space="preserve">of judicial interpretation in the realization of </w:t>
      </w:r>
      <w:r w:rsidR="0053180B">
        <w:t xml:space="preserve">socio-economic rights in Canada, </w:t>
      </w:r>
      <w:r>
        <w:t>Bruce Porter has observed</w:t>
      </w:r>
      <w:r w:rsidR="00BA59EF">
        <w:t>:</w:t>
      </w:r>
    </w:p>
    <w:p w:rsidR="00BA59EF" w:rsidRDefault="00BA59EF" w:rsidP="0053180B">
      <w:pPr>
        <w:spacing w:line="240" w:lineRule="auto"/>
        <w:ind w:left="567" w:right="567"/>
      </w:pPr>
      <w:r>
        <w:t>Negative rights interpretations have been adopted not on the basis of coherent or reasonable principles of interpretation but rather in the service of preconceive</w:t>
      </w:r>
      <w:r w:rsidR="0053180B">
        <w:t xml:space="preserve">d ideas of a restricted role of </w:t>
      </w:r>
      <w:r>
        <w:t>courts. The consequences of such restrictive interpretations for the integrity of the meanings of rights are severe. By retreating from understandings that may require positive measures or transformative change, courts stultify interpretation around existing patterns of discrimination, marginalization and exclusion. They exclude from their interpretation of r</w:t>
      </w:r>
      <w:r w:rsidR="0053180B">
        <w:t xml:space="preserve">ights the circumstances </w:t>
      </w:r>
      <w:r>
        <w:t>of disadvantaged and marginalized groups – those whose rights are most frequently denied by existing patterns of exclusion and by governments’ failures to take positive measures to address these systemic violations.</w:t>
      </w:r>
      <w:r w:rsidRPr="009A5AAB">
        <w:rPr>
          <w:vertAlign w:val="superscript"/>
        </w:rPr>
        <w:footnoteReference w:id="220"/>
      </w:r>
    </w:p>
    <w:p w:rsidR="00CC39BF" w:rsidRDefault="00CC39BF" w:rsidP="0053180B">
      <w:pPr>
        <w:spacing w:line="240" w:lineRule="auto"/>
        <w:ind w:left="567" w:right="567"/>
      </w:pPr>
    </w:p>
    <w:p w:rsidR="00197D02" w:rsidRDefault="007A06F4" w:rsidP="008F027A">
      <w:pPr>
        <w:spacing w:line="480" w:lineRule="auto"/>
      </w:pPr>
      <w:r>
        <w:t xml:space="preserve">In </w:t>
      </w:r>
      <w:r w:rsidR="00D42AF0">
        <w:t>sharp contrast to the current judicial approach</w:t>
      </w:r>
      <w:r w:rsidR="00E004B8">
        <w:t>,</w:t>
      </w:r>
      <w:r w:rsidR="00E004B8" w:rsidRPr="00E004B8">
        <w:t xml:space="preserve"> </w:t>
      </w:r>
      <w:r w:rsidR="00E004B8">
        <w:t xml:space="preserve">in the period leading up to and following </w:t>
      </w:r>
      <w:r w:rsidR="000E04AD">
        <w:t xml:space="preserve">its </w:t>
      </w:r>
      <w:r w:rsidR="00E004B8">
        <w:t xml:space="preserve">enactment, </w:t>
      </w:r>
      <w:r w:rsidR="003D4EBE">
        <w:t xml:space="preserve">disadvantaged groups </w:t>
      </w:r>
      <w:r w:rsidR="00A67AF6">
        <w:t xml:space="preserve">advocated for </w:t>
      </w:r>
      <w:r w:rsidR="005C0630">
        <w:t xml:space="preserve">an interpretation and application </w:t>
      </w:r>
      <w:r w:rsidR="00E004B8">
        <w:t xml:space="preserve">of </w:t>
      </w:r>
      <w:r w:rsidR="004760A1">
        <w:t xml:space="preserve">the </w:t>
      </w:r>
      <w:r w:rsidR="004760A1" w:rsidRPr="004760A1">
        <w:rPr>
          <w:i/>
        </w:rPr>
        <w:t>Charter</w:t>
      </w:r>
      <w:r w:rsidR="00E004B8">
        <w:t xml:space="preserve"> </w:t>
      </w:r>
      <w:r w:rsidR="00A67AF6">
        <w:t xml:space="preserve">that </w:t>
      </w:r>
      <w:r w:rsidR="00C15D4F">
        <w:t xml:space="preserve">would reflect and reinforce Canada’s international </w:t>
      </w:r>
      <w:r w:rsidR="00D42AF0">
        <w:t xml:space="preserve">socio-economic </w:t>
      </w:r>
      <w:r w:rsidR="00C15D4F">
        <w:t xml:space="preserve">rights commitments, </w:t>
      </w:r>
      <w:r w:rsidR="004F3B8C">
        <w:t xml:space="preserve">moving </w:t>
      </w:r>
      <w:r w:rsidR="00C15D4F">
        <w:t xml:space="preserve">beyond the </w:t>
      </w:r>
      <w:r w:rsidR="00C4052D">
        <w:t>discredit</w:t>
      </w:r>
      <w:r w:rsidR="00C15D4F">
        <w:t xml:space="preserve">ed </w:t>
      </w:r>
      <w:r w:rsidR="00384277">
        <w:t xml:space="preserve">and outmoded </w:t>
      </w:r>
      <w:r w:rsidR="00C15D4F">
        <w:t xml:space="preserve">dichotomy between positive and negative rights that </w:t>
      </w:r>
      <w:r w:rsidR="00C4052D">
        <w:t xml:space="preserve">was </w:t>
      </w:r>
      <w:r w:rsidR="00C15D4F">
        <w:t xml:space="preserve">abandoned under the </w:t>
      </w:r>
      <w:r w:rsidR="00C15D4F" w:rsidRPr="0039675A">
        <w:rPr>
          <w:i/>
        </w:rPr>
        <w:t>UN Declaration</w:t>
      </w:r>
      <w:r w:rsidR="00C15D4F">
        <w:t xml:space="preserve"> and the two </w:t>
      </w:r>
      <w:r w:rsidR="00C15D4F">
        <w:rPr>
          <w:i/>
        </w:rPr>
        <w:t>International C</w:t>
      </w:r>
      <w:r w:rsidR="00C15D4F" w:rsidRPr="0039675A">
        <w:rPr>
          <w:i/>
        </w:rPr>
        <w:t>ovenants</w:t>
      </w:r>
      <w:r w:rsidR="00C15D4F">
        <w:t>.</w:t>
      </w:r>
      <w:r w:rsidR="00311F97" w:rsidRPr="009A5AAB">
        <w:rPr>
          <w:vertAlign w:val="superscript"/>
        </w:rPr>
        <w:footnoteReference w:id="221"/>
      </w:r>
      <w:r w:rsidR="00C15D4F">
        <w:t xml:space="preserve">  </w:t>
      </w:r>
      <w:r w:rsidR="00E004B8">
        <w:t>Disadvantaged groups</w:t>
      </w:r>
      <w:r w:rsidR="00C15D4F">
        <w:t xml:space="preserve"> </w:t>
      </w:r>
      <w:r w:rsidR="00A67AF6">
        <w:t>insist</w:t>
      </w:r>
      <w:r w:rsidR="00C15D4F">
        <w:t xml:space="preserve">ed that </w:t>
      </w:r>
      <w:r w:rsidR="00AA35E0">
        <w:t>government</w:t>
      </w:r>
      <w:r w:rsidR="007E1BBE">
        <w:t xml:space="preserve">s’ </w:t>
      </w:r>
      <w:r w:rsidR="00B414DE">
        <w:t>inattention to</w:t>
      </w:r>
      <w:r w:rsidR="00197D02">
        <w:t>,</w:t>
      </w:r>
      <w:r w:rsidR="00B414DE">
        <w:t xml:space="preserve"> or deliberate </w:t>
      </w:r>
      <w:r w:rsidR="0021210B">
        <w:t xml:space="preserve">failure to address </w:t>
      </w:r>
      <w:r w:rsidR="007E635F">
        <w:t xml:space="preserve">the </w:t>
      </w:r>
      <w:r w:rsidR="004A1E0B">
        <w:t xml:space="preserve">consequences </w:t>
      </w:r>
      <w:r w:rsidR="007E635F">
        <w:t xml:space="preserve">of </w:t>
      </w:r>
      <w:r w:rsidR="00660E3D">
        <w:t xml:space="preserve">unemployment, </w:t>
      </w:r>
      <w:r w:rsidR="007E635F">
        <w:t xml:space="preserve">homelessness, </w:t>
      </w:r>
      <w:r w:rsidR="004A1E0B">
        <w:t xml:space="preserve">poverty, </w:t>
      </w:r>
      <w:r w:rsidR="00197D02">
        <w:t>inadequate</w:t>
      </w:r>
      <w:r w:rsidR="007E635F">
        <w:t xml:space="preserve"> </w:t>
      </w:r>
      <w:r w:rsidR="004A1E0B">
        <w:t xml:space="preserve">health </w:t>
      </w:r>
      <w:r w:rsidR="007E635F">
        <w:t>services</w:t>
      </w:r>
      <w:r w:rsidR="00197D02">
        <w:t>,</w:t>
      </w:r>
      <w:r w:rsidR="007E635F">
        <w:t xml:space="preserve"> and </w:t>
      </w:r>
      <w:r w:rsidR="00197D02">
        <w:t xml:space="preserve">lack of </w:t>
      </w:r>
      <w:r w:rsidR="004A1E0B">
        <w:t xml:space="preserve">social </w:t>
      </w:r>
      <w:r w:rsidR="007E635F">
        <w:t>supports</w:t>
      </w:r>
      <w:r w:rsidR="00197D02">
        <w:t>,</w:t>
      </w:r>
      <w:r w:rsidR="007E635F">
        <w:t xml:space="preserve"> </w:t>
      </w:r>
      <w:r w:rsidR="00A67AF6">
        <w:t>sh</w:t>
      </w:r>
      <w:r w:rsidR="00666138">
        <w:t xml:space="preserve">ould </w:t>
      </w:r>
      <w:r w:rsidR="007E1BBE">
        <w:t xml:space="preserve">receive </w:t>
      </w:r>
      <w:r w:rsidR="00666138">
        <w:t xml:space="preserve">the same level of </w:t>
      </w:r>
      <w:r w:rsidR="004F3B8C" w:rsidRPr="004F3B8C">
        <w:rPr>
          <w:i/>
        </w:rPr>
        <w:t>Charter</w:t>
      </w:r>
      <w:r>
        <w:t xml:space="preserve"> </w:t>
      </w:r>
      <w:r w:rsidR="00666138">
        <w:t xml:space="preserve">scrutiny as </w:t>
      </w:r>
      <w:r w:rsidR="004760A1">
        <w:t xml:space="preserve">direct </w:t>
      </w:r>
      <w:r w:rsidR="00306D35">
        <w:t xml:space="preserve">violations of </w:t>
      </w:r>
      <w:r>
        <w:t xml:space="preserve">security of the person and </w:t>
      </w:r>
      <w:r w:rsidR="00197D02">
        <w:t xml:space="preserve">other fundamental </w:t>
      </w:r>
      <w:r w:rsidR="007E635F">
        <w:t>rights</w:t>
      </w:r>
      <w:r w:rsidR="005972B4" w:rsidRPr="005972B4">
        <w:t xml:space="preserve">.  </w:t>
      </w:r>
      <w:r w:rsidR="008F027A">
        <w:t xml:space="preserve">As Justice Arbour </w:t>
      </w:r>
      <w:r w:rsidR="004F3B8C">
        <w:t>underscor</w:t>
      </w:r>
      <w:r w:rsidR="00C15D4F">
        <w:t>ed</w:t>
      </w:r>
      <w:r w:rsidR="002A0BDA">
        <w:t xml:space="preserve"> in </w:t>
      </w:r>
      <w:r w:rsidR="002A0BDA" w:rsidRPr="002A0BDA">
        <w:rPr>
          <w:i/>
        </w:rPr>
        <w:t>Gosse</w:t>
      </w:r>
      <w:r w:rsidR="008F027A" w:rsidRPr="002A0BDA">
        <w:rPr>
          <w:i/>
        </w:rPr>
        <w:t>lin</w:t>
      </w:r>
      <w:r w:rsidR="008F027A">
        <w:t xml:space="preserve">: </w:t>
      </w:r>
    </w:p>
    <w:p w:rsidR="002A0BDA" w:rsidRDefault="002A0BDA" w:rsidP="002A0BDA">
      <w:pPr>
        <w:spacing w:line="240" w:lineRule="auto"/>
        <w:ind w:left="567" w:right="567"/>
      </w:pPr>
      <w:r>
        <w:t>Freedom from state interference with bodily or psychological integrity is of little consolation to those who, like the claimants in this case, are faced with a daily struggle to meet their most basic bodily and psychological needs.  To them, such a purely negative right to security of the person is essentially meaningless: theirs is a world in which the primary threats to security of the person come not from others, but from their own dire circumstances.  In such cases … positive state action is what is required in order to breathe purpose and meaning into their s. 7 guaranteed rights.</w:t>
      </w:r>
      <w:bookmarkStart w:id="20" w:name="_Hlk522106128"/>
      <w:r w:rsidRPr="000D1D70">
        <w:rPr>
          <w:vertAlign w:val="superscript"/>
        </w:rPr>
        <w:footnoteReference w:id="222"/>
      </w:r>
      <w:bookmarkEnd w:id="20"/>
    </w:p>
    <w:p w:rsidR="002A0BDA" w:rsidRDefault="002A0BDA" w:rsidP="002A0BDA">
      <w:pPr>
        <w:spacing w:line="240" w:lineRule="auto"/>
        <w:ind w:left="567" w:right="567"/>
      </w:pPr>
    </w:p>
    <w:p w:rsidR="003F610D" w:rsidRPr="001215BB" w:rsidRDefault="004F3B8C" w:rsidP="005F7BCA">
      <w:pPr>
        <w:spacing w:line="480" w:lineRule="auto"/>
        <w:ind w:firstLine="720"/>
      </w:pPr>
      <w:r>
        <w:t>Three decades on</w:t>
      </w:r>
      <w:r w:rsidR="0039675A">
        <w:t>, p</w:t>
      </w:r>
      <w:r w:rsidR="00A9485C">
        <w:t xml:space="preserve">eople living in poverty </w:t>
      </w:r>
      <w:r w:rsidR="004C2843">
        <w:t xml:space="preserve">would </w:t>
      </w:r>
      <w:r w:rsidR="002A0BDA">
        <w:t xml:space="preserve">surely </w:t>
      </w:r>
      <w:r w:rsidR="00A9485C">
        <w:t xml:space="preserve">have anticipated </w:t>
      </w:r>
      <w:r w:rsidR="001B5E41">
        <w:t xml:space="preserve">that </w:t>
      </w:r>
      <w:r w:rsidR="00041664">
        <w:t xml:space="preserve">the </w:t>
      </w:r>
      <w:r w:rsidR="00D77094">
        <w:t xml:space="preserve">section 7 </w:t>
      </w:r>
      <w:r w:rsidR="0039675A">
        <w:t>r</w:t>
      </w:r>
      <w:r w:rsidR="00A9485C">
        <w:t>ight to life, liberty an</w:t>
      </w:r>
      <w:r w:rsidR="00197D02">
        <w:t>d sec</w:t>
      </w:r>
      <w:r w:rsidR="009C4F83">
        <w:t>urity of the person would</w:t>
      </w:r>
      <w:r w:rsidR="00A67AF6">
        <w:t>, as Louise Gosselin believed,</w:t>
      </w:r>
      <w:r w:rsidR="009C4F83">
        <w:t xml:space="preserve"> </w:t>
      </w:r>
      <w:r w:rsidR="004760A1">
        <w:t xml:space="preserve">translate </w:t>
      </w:r>
      <w:r w:rsidR="0096174C">
        <w:t>in</w:t>
      </w:r>
      <w:r w:rsidR="004760A1">
        <w:t xml:space="preserve">to </w:t>
      </w:r>
      <w:r w:rsidR="00A9485C">
        <w:t xml:space="preserve">a level of social assistance that </w:t>
      </w:r>
      <w:r w:rsidR="004760A1">
        <w:t xml:space="preserve">didn’t </w:t>
      </w:r>
      <w:r w:rsidR="00A9485C">
        <w:t xml:space="preserve">force </w:t>
      </w:r>
      <w:r w:rsidR="00B06BAF">
        <w:t xml:space="preserve">those in need </w:t>
      </w:r>
      <w:r w:rsidR="00A9485C">
        <w:t>to choose between</w:t>
      </w:r>
      <w:r w:rsidR="00D42AF0">
        <w:t xml:space="preserve"> hunger and homelessness</w:t>
      </w:r>
      <w:r w:rsidR="00A9485C">
        <w:t xml:space="preserve">.  </w:t>
      </w:r>
      <w:r w:rsidR="005F7BCA">
        <w:t xml:space="preserve">They would </w:t>
      </w:r>
      <w:r w:rsidR="00322A0F">
        <w:t xml:space="preserve">take as a given </w:t>
      </w:r>
      <w:r w:rsidR="005F7BCA" w:rsidRPr="005F7BCA">
        <w:t xml:space="preserve">Chief Justice McLachlin and Justice Lebel’s </w:t>
      </w:r>
      <w:r w:rsidR="00737579">
        <w:t>insistence</w:t>
      </w:r>
      <w:r w:rsidR="002132DE">
        <w:t xml:space="preserve"> </w:t>
      </w:r>
      <w:r w:rsidR="005F7BCA" w:rsidRPr="005F7BCA">
        <w:t xml:space="preserve">that “the </w:t>
      </w:r>
      <w:r w:rsidR="005F7BCA" w:rsidRPr="005F7BCA">
        <w:rPr>
          <w:i/>
        </w:rPr>
        <w:t>Charter</w:t>
      </w:r>
      <w:r w:rsidR="005F7BCA" w:rsidRPr="005F7BCA">
        <w:t xml:space="preserve">, as a living document, grows with society and speaks to the current situation and needs of Canadians.  Thus Canada’s current international law commitments and the current state of international thought on human rights provide a persuasive source for interpreting the scope of the </w:t>
      </w:r>
      <w:r w:rsidR="005F7BCA" w:rsidRPr="005F7BCA">
        <w:rPr>
          <w:i/>
        </w:rPr>
        <w:t>Charter</w:t>
      </w:r>
      <w:r w:rsidR="005F7BCA" w:rsidRPr="005F7BCA">
        <w:t>.”</w:t>
      </w:r>
      <w:r w:rsidR="005F7BCA" w:rsidRPr="005F7BCA">
        <w:rPr>
          <w:vertAlign w:val="superscript"/>
        </w:rPr>
        <w:t xml:space="preserve"> </w:t>
      </w:r>
      <w:r w:rsidR="005F7BCA" w:rsidRPr="000D1D70">
        <w:rPr>
          <w:vertAlign w:val="superscript"/>
        </w:rPr>
        <w:footnoteReference w:id="223"/>
      </w:r>
      <w:r w:rsidR="005F7BCA" w:rsidRPr="005F7BCA">
        <w:t xml:space="preserve">  </w:t>
      </w:r>
      <w:r w:rsidR="005F7BCA">
        <w:t>People living in poverty</w:t>
      </w:r>
      <w:r w:rsidR="00A9485C">
        <w:t xml:space="preserve"> would have predicted the </w:t>
      </w:r>
      <w:r w:rsidR="00A9485C" w:rsidRPr="003D4EBE">
        <w:rPr>
          <w:i/>
        </w:rPr>
        <w:t>Charter</w:t>
      </w:r>
      <w:r w:rsidR="002F2192">
        <w:t xml:space="preserve"> would</w:t>
      </w:r>
      <w:r w:rsidR="00A67AF6">
        <w:t xml:space="preserve">, as Jennifer Tanudjaja </w:t>
      </w:r>
      <w:r>
        <w:t>a</w:t>
      </w:r>
      <w:r w:rsidR="00C4486D">
        <w:t>ffirm</w:t>
      </w:r>
      <w:r w:rsidR="00A67AF6">
        <w:t>ed,</w:t>
      </w:r>
      <w:r w:rsidR="00A9485C">
        <w:t xml:space="preserve"> require </w:t>
      </w:r>
      <w:r w:rsidR="004760A1">
        <w:t xml:space="preserve">Canadian </w:t>
      </w:r>
      <w:r w:rsidR="00A9485C">
        <w:t>governments to adopt strategies to combat and eventually put an end to poverty and</w:t>
      </w:r>
      <w:r w:rsidR="00D42AF0">
        <w:t xml:space="preserve"> </w:t>
      </w:r>
      <w:r w:rsidR="004760A1">
        <w:t xml:space="preserve">widespread </w:t>
      </w:r>
      <w:r w:rsidR="00D42AF0">
        <w:t>housing insecurity</w:t>
      </w:r>
      <w:r w:rsidR="00A9485C">
        <w:t xml:space="preserve">.  </w:t>
      </w:r>
      <w:r w:rsidR="00B57022">
        <w:t xml:space="preserve">They would have expected the courts to </w:t>
      </w:r>
      <w:r w:rsidR="009C0521">
        <w:t xml:space="preserve">recognize </w:t>
      </w:r>
      <w:r w:rsidR="001B5E41">
        <w:t xml:space="preserve">the </w:t>
      </w:r>
      <w:bookmarkStart w:id="21" w:name="_Hlk504659788"/>
      <w:r w:rsidR="001B5E41">
        <w:t xml:space="preserve">disproportionately adverse impact </w:t>
      </w:r>
      <w:r w:rsidR="009C0521">
        <w:t xml:space="preserve">government </w:t>
      </w:r>
      <w:r w:rsidR="004760A1">
        <w:t xml:space="preserve">inaction </w:t>
      </w:r>
      <w:r w:rsidR="0096174C">
        <w:t xml:space="preserve">has </w:t>
      </w:r>
      <w:r w:rsidR="0039675A">
        <w:t xml:space="preserve">on </w:t>
      </w:r>
      <w:r w:rsidR="009C0521">
        <w:t xml:space="preserve">the most socially and economically disadvantaged </w:t>
      </w:r>
      <w:r w:rsidR="00306D35">
        <w:t xml:space="preserve">members of </w:t>
      </w:r>
      <w:r w:rsidR="009C0521">
        <w:t>Canadian society</w:t>
      </w:r>
      <w:bookmarkEnd w:id="21"/>
      <w:r w:rsidR="002F2192">
        <w:t>:</w:t>
      </w:r>
      <w:r w:rsidR="009C0521">
        <w:t xml:space="preserve"> Indigenous people, people with disabilities; </w:t>
      </w:r>
      <w:r w:rsidR="003B3F1B">
        <w:t xml:space="preserve">new immigrants and </w:t>
      </w:r>
      <w:r w:rsidR="009C0521">
        <w:t>refugees</w:t>
      </w:r>
      <w:r w:rsidR="003B3F1B">
        <w:t>,</w:t>
      </w:r>
      <w:r w:rsidR="009C0521">
        <w:t xml:space="preserve"> and </w:t>
      </w:r>
      <w:r w:rsidR="00197D02">
        <w:t>sole support mothers and their children</w:t>
      </w:r>
      <w:r w:rsidR="009C0521">
        <w:t>.</w:t>
      </w:r>
      <w:r w:rsidR="00197D02" w:rsidRPr="009A5AAB">
        <w:rPr>
          <w:vertAlign w:val="superscript"/>
        </w:rPr>
        <w:footnoteReference w:id="224"/>
      </w:r>
      <w:r w:rsidR="001B5E41">
        <w:t xml:space="preserve">  </w:t>
      </w:r>
      <w:r w:rsidR="009B4290">
        <w:t xml:space="preserve">Instead of </w:t>
      </w:r>
      <w:r>
        <w:t xml:space="preserve">one tenuous step forward </w:t>
      </w:r>
      <w:r w:rsidR="00C4052D">
        <w:t xml:space="preserve">by the Supreme Court </w:t>
      </w:r>
      <w:r w:rsidR="00061A68">
        <w:t xml:space="preserve">of Canada </w:t>
      </w:r>
      <w:r>
        <w:t xml:space="preserve">in </w:t>
      </w:r>
      <w:r w:rsidRPr="004F3B8C">
        <w:rPr>
          <w:i/>
        </w:rPr>
        <w:t>Gosselin</w:t>
      </w:r>
      <w:r>
        <w:t>, t</w:t>
      </w:r>
      <w:r w:rsidR="001B5E41">
        <w:t xml:space="preserve">hey would have expected </w:t>
      </w:r>
      <w:r w:rsidR="00061A68">
        <w:t xml:space="preserve">Canadian </w:t>
      </w:r>
      <w:r w:rsidR="001B5E41">
        <w:t xml:space="preserve">courts </w:t>
      </w:r>
      <w:r w:rsidR="00B06BAF">
        <w:t xml:space="preserve">at every level </w:t>
      </w:r>
      <w:r w:rsidR="001B5E41">
        <w:t xml:space="preserve">to hold governments </w:t>
      </w:r>
      <w:r>
        <w:t xml:space="preserve">fully </w:t>
      </w:r>
      <w:r w:rsidR="001B5E41">
        <w:t>account</w:t>
      </w:r>
      <w:r w:rsidR="00C4052D">
        <w:t>able</w:t>
      </w:r>
      <w:r w:rsidR="001B5E41">
        <w:t xml:space="preserve"> for </w:t>
      </w:r>
      <w:r w:rsidR="00061A68">
        <w:t>failing to</w:t>
      </w:r>
      <w:r w:rsidR="00AC4658">
        <w:t xml:space="preserve"> </w:t>
      </w:r>
      <w:r w:rsidR="0041209A">
        <w:t xml:space="preserve">take affirmative steps </w:t>
      </w:r>
      <w:r w:rsidR="00AC4658">
        <w:t xml:space="preserve">to </w:t>
      </w:r>
      <w:r w:rsidR="0021210B">
        <w:t xml:space="preserve">remedy </w:t>
      </w:r>
      <w:r w:rsidR="00306D35">
        <w:t xml:space="preserve">poverty </w:t>
      </w:r>
      <w:r w:rsidR="00197D02">
        <w:t xml:space="preserve">and the serious </w:t>
      </w:r>
      <w:r>
        <w:t xml:space="preserve">human </w:t>
      </w:r>
      <w:r w:rsidR="00197D02">
        <w:t>rights violations that result</w:t>
      </w:r>
      <w:r w:rsidR="001B5E41">
        <w:t>.</w:t>
      </w:r>
      <w:r w:rsidR="007A06F4">
        <w:t xml:space="preserve"> </w:t>
      </w:r>
      <w:r w:rsidR="004760A1">
        <w:t xml:space="preserve"> </w:t>
      </w:r>
      <w:r w:rsidR="00C33B61">
        <w:t>P</w:t>
      </w:r>
      <w:r w:rsidR="00B81489">
        <w:t xml:space="preserve">eople living in poverty could not </w:t>
      </w:r>
      <w:r w:rsidR="00AD2013">
        <w:t xml:space="preserve">have </w:t>
      </w:r>
      <w:r w:rsidR="006E76A5">
        <w:t xml:space="preserve">foreseen </w:t>
      </w:r>
      <w:r w:rsidR="00994631">
        <w:t>that</w:t>
      </w:r>
      <w:r w:rsidR="00B06BAF">
        <w:t>,</w:t>
      </w:r>
      <w:r w:rsidR="00061A68">
        <w:t xml:space="preserve"> </w:t>
      </w:r>
      <w:r w:rsidR="00B06BAF">
        <w:t xml:space="preserve">thirty-five years after the </w:t>
      </w:r>
      <w:r w:rsidR="00B06BAF" w:rsidRPr="00B06BAF">
        <w:rPr>
          <w:i/>
        </w:rPr>
        <w:t>Charter</w:t>
      </w:r>
      <w:r w:rsidR="00B06BAF">
        <w:t>’s</w:t>
      </w:r>
      <w:r w:rsidR="000F78C8">
        <w:t xml:space="preserve"> enactment</w:t>
      </w:r>
      <w:r w:rsidR="00B06BAF">
        <w:t xml:space="preserve">, </w:t>
      </w:r>
      <w:r w:rsidR="007A06F4">
        <w:t>section 7</w:t>
      </w:r>
      <w:r w:rsidR="0041209A">
        <w:t xml:space="preserve">’s </w:t>
      </w:r>
      <w:r w:rsidR="00311F97">
        <w:t xml:space="preserve">promise of life, liberty and security of the person would </w:t>
      </w:r>
      <w:r w:rsidR="00E004B8">
        <w:t xml:space="preserve">offer </w:t>
      </w:r>
      <w:r w:rsidR="00AD2013">
        <w:t xml:space="preserve">no more than </w:t>
      </w:r>
      <w:r w:rsidR="00E004B8">
        <w:t>a</w:t>
      </w:r>
      <w:r w:rsidR="00AD2013">
        <w:t xml:space="preserve"> right </w:t>
      </w:r>
      <w:r w:rsidR="00264397">
        <w:t xml:space="preserve">to </w:t>
      </w:r>
      <w:r w:rsidR="00942E8E">
        <w:t xml:space="preserve">sleep </w:t>
      </w:r>
      <w:r w:rsidR="00D42AF0">
        <w:t>i</w:t>
      </w:r>
      <w:r w:rsidR="00942E8E">
        <w:t xml:space="preserve">n a </w:t>
      </w:r>
      <w:r w:rsidR="00A9485C">
        <w:t>park</w:t>
      </w:r>
      <w:r w:rsidR="00D42AF0">
        <w:t xml:space="preserve"> </w:t>
      </w:r>
      <w:r w:rsidR="00E004B8">
        <w:t xml:space="preserve">at night </w:t>
      </w:r>
      <w:r w:rsidR="00264397">
        <w:t>u</w:t>
      </w:r>
      <w:r w:rsidR="00320F1F">
        <w:t xml:space="preserve">nder a piece </w:t>
      </w:r>
      <w:r w:rsidR="00264397">
        <w:t>o</w:t>
      </w:r>
      <w:r w:rsidR="00146DFB">
        <w:t>f plastic</w:t>
      </w:r>
      <w:r w:rsidR="004760A1">
        <w:t xml:space="preserve"> or </w:t>
      </w:r>
      <w:r w:rsidR="00AC4658">
        <w:t xml:space="preserve">a </w:t>
      </w:r>
      <w:r w:rsidR="004760A1">
        <w:t>cardboard box</w:t>
      </w:r>
      <w:r w:rsidR="00146DFB">
        <w:t>.</w:t>
      </w:r>
      <w:r w:rsidR="00E159CF" w:rsidRPr="009A5AAB">
        <w:rPr>
          <w:vertAlign w:val="superscript"/>
        </w:rPr>
        <w:footnoteReference w:id="225"/>
      </w:r>
      <w:r w:rsidR="00146DFB">
        <w:t xml:space="preserve">  </w:t>
      </w:r>
      <w:r w:rsidR="002F2192">
        <w:t xml:space="preserve">Most of all, </w:t>
      </w:r>
      <w:r w:rsidR="00B06BAF">
        <w:t xml:space="preserve">people living in poverty </w:t>
      </w:r>
      <w:r w:rsidR="006E76A5">
        <w:t xml:space="preserve">could </w:t>
      </w:r>
      <w:r w:rsidR="00B06BAF">
        <w:t xml:space="preserve">not have imagined </w:t>
      </w:r>
      <w:r w:rsidR="00346AEC">
        <w:t>their</w:t>
      </w:r>
      <w:r w:rsidR="00061A68">
        <w:t xml:space="preserve"> </w:t>
      </w:r>
      <w:r w:rsidR="00061A68" w:rsidRPr="00061A68">
        <w:rPr>
          <w:i/>
        </w:rPr>
        <w:t>Charter</w:t>
      </w:r>
      <w:r w:rsidR="00061A68">
        <w:t xml:space="preserve"> </w:t>
      </w:r>
      <w:r w:rsidR="00346AEC">
        <w:t xml:space="preserve">claims </w:t>
      </w:r>
      <w:r w:rsidR="00B06BAF">
        <w:t xml:space="preserve">would no longer even </w:t>
      </w:r>
      <w:r w:rsidR="00AC4658">
        <w:t xml:space="preserve">be </w:t>
      </w:r>
      <w:r w:rsidR="00346AEC">
        <w:t>heard.</w:t>
      </w:r>
      <w:r w:rsidR="00146DFB">
        <w:t xml:space="preserve">  </w:t>
      </w:r>
      <w:r w:rsidR="0025317D">
        <w:t>Yet t</w:t>
      </w:r>
      <w:r w:rsidR="002F2192">
        <w:t>hat</w:t>
      </w:r>
      <w:r w:rsidR="00C4052D">
        <w:t xml:space="preserve">, to </w:t>
      </w:r>
      <w:r w:rsidR="001C1C1D">
        <w:t xml:space="preserve">all </w:t>
      </w:r>
      <w:r w:rsidR="00C4052D">
        <w:t>appearances,</w:t>
      </w:r>
      <w:r w:rsidR="002F2192">
        <w:t xml:space="preserve"> </w:t>
      </w:r>
      <w:r w:rsidR="001B5E41">
        <w:t xml:space="preserve">is the </w:t>
      </w:r>
      <w:r w:rsidR="003A4C09">
        <w:t xml:space="preserve">legacy of </w:t>
      </w:r>
      <w:r w:rsidR="003A4C09" w:rsidRPr="00346AEC">
        <w:rPr>
          <w:i/>
        </w:rPr>
        <w:t>Gosselin</w:t>
      </w:r>
      <w:r w:rsidR="003A4C09">
        <w:t>.</w:t>
      </w:r>
    </w:p>
    <w:sectPr w:rsidR="003F610D" w:rsidRPr="001215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9C" w:rsidRDefault="000F3C9C" w:rsidP="00546EAC">
      <w:pPr>
        <w:spacing w:after="0" w:line="240" w:lineRule="auto"/>
      </w:pPr>
      <w:r>
        <w:separator/>
      </w:r>
    </w:p>
  </w:endnote>
  <w:endnote w:type="continuationSeparator" w:id="0">
    <w:p w:rsidR="000F3C9C" w:rsidRDefault="000F3C9C" w:rsidP="0054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AA" w:rsidRDefault="00B356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07753"/>
      <w:docPartObj>
        <w:docPartGallery w:val="Page Numbers (Bottom of Page)"/>
        <w:docPartUnique/>
      </w:docPartObj>
    </w:sdtPr>
    <w:sdtEndPr>
      <w:rPr>
        <w:noProof/>
      </w:rPr>
    </w:sdtEndPr>
    <w:sdtContent>
      <w:p w:rsidR="00B356AA" w:rsidRDefault="00B356AA">
        <w:pPr>
          <w:pStyle w:val="Pieddepage"/>
          <w:jc w:val="center"/>
        </w:pPr>
        <w:r>
          <w:fldChar w:fldCharType="begin"/>
        </w:r>
        <w:r>
          <w:instrText xml:space="preserve"> PAGE   \* MERGEFORMAT </w:instrText>
        </w:r>
        <w:r>
          <w:fldChar w:fldCharType="separate"/>
        </w:r>
        <w:r w:rsidR="007D4ADB">
          <w:rPr>
            <w:noProof/>
          </w:rPr>
          <w:t>2</w:t>
        </w:r>
        <w:r>
          <w:rPr>
            <w:noProof/>
          </w:rPr>
          <w:fldChar w:fldCharType="end"/>
        </w:r>
      </w:p>
    </w:sdtContent>
  </w:sdt>
  <w:p w:rsidR="00B356AA" w:rsidRDefault="00B356A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AA" w:rsidRDefault="00B356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9C" w:rsidRDefault="000F3C9C" w:rsidP="00546EAC">
      <w:pPr>
        <w:spacing w:after="0" w:line="240" w:lineRule="auto"/>
      </w:pPr>
      <w:r>
        <w:separator/>
      </w:r>
    </w:p>
  </w:footnote>
  <w:footnote w:type="continuationSeparator" w:id="0">
    <w:p w:rsidR="000F3C9C" w:rsidRDefault="000F3C9C" w:rsidP="00546EAC">
      <w:pPr>
        <w:spacing w:after="0" w:line="240" w:lineRule="auto"/>
      </w:pPr>
      <w:r>
        <w:continuationSeparator/>
      </w:r>
    </w:p>
  </w:footnote>
  <w:footnote w:id="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sidRPr="005F3A9B">
        <w:rPr>
          <w:iCs/>
          <w:sz w:val="20"/>
          <w:szCs w:val="20"/>
        </w:rPr>
        <w:t xml:space="preserve">[1989] 1 </w:t>
      </w:r>
      <w:r>
        <w:rPr>
          <w:iCs/>
          <w:sz w:val="20"/>
          <w:szCs w:val="20"/>
        </w:rPr>
        <w:t>SCR</w:t>
      </w:r>
      <w:r w:rsidRPr="005F3A9B">
        <w:rPr>
          <w:iCs/>
          <w:sz w:val="20"/>
          <w:szCs w:val="20"/>
        </w:rPr>
        <w:t xml:space="preserve"> 927 at 1003 [</w:t>
      </w:r>
      <w:r w:rsidRPr="005F3A9B">
        <w:rPr>
          <w:i/>
          <w:iCs/>
          <w:sz w:val="20"/>
          <w:szCs w:val="20"/>
        </w:rPr>
        <w:t>Irwin Toy</w:t>
      </w:r>
      <w:r w:rsidRPr="005F3A9B">
        <w:rPr>
          <w:iCs/>
          <w:sz w:val="20"/>
          <w:szCs w:val="20"/>
        </w:rPr>
        <w:t>]</w:t>
      </w:r>
      <w:r w:rsidRPr="005F3A9B">
        <w:rPr>
          <w:sz w:val="20"/>
          <w:szCs w:val="20"/>
        </w:rPr>
        <w:t>.</w:t>
      </w:r>
    </w:p>
  </w:footnote>
  <w:footnote w:id="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Canadian Charter of Rights and Freedoms</w:t>
      </w:r>
      <w:r w:rsidRPr="005F3A9B">
        <w:rPr>
          <w:iCs/>
          <w:sz w:val="20"/>
          <w:szCs w:val="20"/>
        </w:rPr>
        <w:t xml:space="preserve">, Part I of the </w:t>
      </w:r>
      <w:r w:rsidRPr="00BE7298">
        <w:rPr>
          <w:i/>
          <w:iCs/>
          <w:sz w:val="20"/>
          <w:szCs w:val="20"/>
        </w:rPr>
        <w:t>Constitution Act, 1982</w:t>
      </w:r>
      <w:r w:rsidRPr="005F3A9B">
        <w:rPr>
          <w:iCs/>
          <w:sz w:val="20"/>
          <w:szCs w:val="20"/>
        </w:rPr>
        <w:t xml:space="preserve">, being Schedule B to the </w:t>
      </w:r>
      <w:r w:rsidRPr="005F3A9B">
        <w:rPr>
          <w:i/>
          <w:iCs/>
          <w:sz w:val="20"/>
          <w:szCs w:val="20"/>
        </w:rPr>
        <w:t>Canada Act 1982</w:t>
      </w:r>
      <w:r>
        <w:rPr>
          <w:iCs/>
          <w:sz w:val="20"/>
          <w:szCs w:val="20"/>
        </w:rPr>
        <w:t xml:space="preserve"> (UK), 1982, c</w:t>
      </w:r>
      <w:r w:rsidRPr="005F3A9B">
        <w:rPr>
          <w:iCs/>
          <w:sz w:val="20"/>
          <w:szCs w:val="20"/>
        </w:rPr>
        <w:t xml:space="preserve"> 11 [</w:t>
      </w:r>
      <w:r w:rsidRPr="005F3A9B">
        <w:rPr>
          <w:i/>
          <w:iCs/>
          <w:sz w:val="20"/>
          <w:szCs w:val="20"/>
        </w:rPr>
        <w:t>Charter</w:t>
      </w:r>
      <w:r w:rsidRPr="005F3A9B">
        <w:rPr>
          <w:iCs/>
          <w:sz w:val="20"/>
          <w:szCs w:val="20"/>
        </w:rPr>
        <w:t>]</w:t>
      </w:r>
      <w:r w:rsidRPr="005F3A9B">
        <w:rPr>
          <w:sz w:val="20"/>
          <w:szCs w:val="20"/>
        </w:rPr>
        <w:t>.</w:t>
      </w:r>
    </w:p>
  </w:footnote>
  <w:footnote w:id="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Irwin Toy</w:t>
      </w:r>
      <w:r w:rsidRPr="005F3A9B">
        <w:rPr>
          <w:iCs/>
          <w:sz w:val="20"/>
          <w:szCs w:val="20"/>
        </w:rPr>
        <w:t xml:space="preserve">, </w:t>
      </w:r>
      <w:r w:rsidRPr="00B10024">
        <w:rPr>
          <w:i/>
          <w:iCs/>
          <w:sz w:val="20"/>
          <w:szCs w:val="20"/>
        </w:rPr>
        <w:t>supra</w:t>
      </w:r>
      <w:r w:rsidRPr="005F3A9B">
        <w:rPr>
          <w:iCs/>
          <w:sz w:val="20"/>
          <w:szCs w:val="20"/>
        </w:rPr>
        <w:t xml:space="preserve"> note </w:t>
      </w:r>
      <w:r>
        <w:rPr>
          <w:iCs/>
          <w:sz w:val="20"/>
          <w:szCs w:val="20"/>
        </w:rPr>
        <w:t>1</w:t>
      </w:r>
      <w:r w:rsidRPr="005F3A9B">
        <w:rPr>
          <w:iCs/>
          <w:sz w:val="20"/>
          <w:szCs w:val="20"/>
        </w:rPr>
        <w:t xml:space="preserve"> at 1003-1004</w:t>
      </w:r>
      <w:r w:rsidRPr="005F3A9B">
        <w:rPr>
          <w:sz w:val="20"/>
          <w:szCs w:val="20"/>
        </w:rPr>
        <w:t>.</w:t>
      </w:r>
    </w:p>
  </w:footnote>
  <w:footnote w:id="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Ibid</w:t>
      </w:r>
      <w:r w:rsidRPr="005F3A9B">
        <w:rPr>
          <w:sz w:val="20"/>
          <w:szCs w:val="20"/>
        </w:rPr>
        <w:t>.</w:t>
      </w:r>
    </w:p>
  </w:footnote>
  <w:footnote w:id="5">
    <w:p w:rsidR="00B356AA" w:rsidRPr="005F3A9B" w:rsidRDefault="00B356AA" w:rsidP="001A3B24">
      <w:pPr>
        <w:spacing w:after="0"/>
        <w:rPr>
          <w:sz w:val="20"/>
          <w:szCs w:val="20"/>
        </w:rPr>
      </w:pPr>
      <w:r w:rsidRPr="005F3A9B">
        <w:rPr>
          <w:rStyle w:val="Appelnotedebasdep"/>
          <w:sz w:val="20"/>
          <w:szCs w:val="20"/>
          <w:vertAlign w:val="superscript"/>
        </w:rPr>
        <w:footnoteRef/>
      </w:r>
      <w:r>
        <w:rPr>
          <w:i/>
          <w:iCs/>
          <w:sz w:val="20"/>
          <w:szCs w:val="20"/>
        </w:rPr>
        <w:t>Gosselin v</w:t>
      </w:r>
      <w:r w:rsidRPr="005F3A9B">
        <w:rPr>
          <w:i/>
          <w:iCs/>
          <w:sz w:val="20"/>
          <w:szCs w:val="20"/>
        </w:rPr>
        <w:t xml:space="preserve"> Québec (Attorney General), </w:t>
      </w:r>
      <w:r w:rsidRPr="005F3A9B">
        <w:rPr>
          <w:iCs/>
          <w:sz w:val="20"/>
          <w:szCs w:val="20"/>
        </w:rPr>
        <w:t xml:space="preserve">[2002] 4 </w:t>
      </w:r>
      <w:r>
        <w:rPr>
          <w:iCs/>
          <w:sz w:val="20"/>
          <w:szCs w:val="20"/>
        </w:rPr>
        <w:t xml:space="preserve">SCR 429 </w:t>
      </w:r>
      <w:r w:rsidRPr="00FC43EB">
        <w:rPr>
          <w:iCs/>
          <w:sz w:val="20"/>
          <w:szCs w:val="20"/>
        </w:rPr>
        <w:t>[</w:t>
      </w:r>
      <w:r w:rsidRPr="00FC43EB">
        <w:rPr>
          <w:i/>
          <w:iCs/>
          <w:sz w:val="20"/>
          <w:szCs w:val="20"/>
        </w:rPr>
        <w:t xml:space="preserve">Gosselin </w:t>
      </w:r>
      <w:r w:rsidRPr="00FC43EB">
        <w:rPr>
          <w:iCs/>
          <w:sz w:val="20"/>
          <w:szCs w:val="20"/>
        </w:rPr>
        <w:t xml:space="preserve">(SCC)], aff’g </w:t>
      </w:r>
      <w:r w:rsidRPr="00FC43EB">
        <w:rPr>
          <w:i/>
          <w:iCs/>
          <w:sz w:val="20"/>
          <w:szCs w:val="20"/>
        </w:rPr>
        <w:t>Gosselin v Québec (Procureur général),</w:t>
      </w:r>
      <w:r w:rsidRPr="00FC43EB">
        <w:rPr>
          <w:iCs/>
          <w:sz w:val="20"/>
          <w:szCs w:val="20"/>
        </w:rPr>
        <w:t xml:space="preserve"> [1999] RJQ 1033 (CA) [</w:t>
      </w:r>
      <w:r w:rsidRPr="00FC43EB">
        <w:rPr>
          <w:i/>
          <w:iCs/>
          <w:sz w:val="20"/>
          <w:szCs w:val="20"/>
        </w:rPr>
        <w:t>Gosselin</w:t>
      </w:r>
      <w:r w:rsidRPr="00FC43EB">
        <w:rPr>
          <w:iCs/>
          <w:sz w:val="20"/>
          <w:szCs w:val="20"/>
        </w:rPr>
        <w:t xml:space="preserve"> (CA)], aff’g </w:t>
      </w:r>
      <w:r w:rsidRPr="00FC43EB">
        <w:rPr>
          <w:i/>
          <w:iCs/>
          <w:sz w:val="20"/>
          <w:szCs w:val="20"/>
        </w:rPr>
        <w:t>Gosselin</w:t>
      </w:r>
      <w:r w:rsidRPr="00FC43EB">
        <w:rPr>
          <w:iCs/>
          <w:sz w:val="20"/>
          <w:szCs w:val="20"/>
        </w:rPr>
        <w:t xml:space="preserve"> </w:t>
      </w:r>
      <w:r w:rsidRPr="00FC43EB">
        <w:rPr>
          <w:i/>
          <w:iCs/>
          <w:sz w:val="20"/>
          <w:szCs w:val="20"/>
        </w:rPr>
        <w:t>v Québec (Procureur général)</w:t>
      </w:r>
      <w:r w:rsidRPr="00FC43EB">
        <w:rPr>
          <w:iCs/>
          <w:sz w:val="20"/>
          <w:szCs w:val="20"/>
        </w:rPr>
        <w:t xml:space="preserve"> [1992] RJQ 1647 (SC) </w:t>
      </w:r>
      <w:r w:rsidRPr="005F3A9B">
        <w:rPr>
          <w:iCs/>
          <w:sz w:val="20"/>
          <w:szCs w:val="20"/>
        </w:rPr>
        <w:t>[</w:t>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w:t>
      </w:r>
      <w:r w:rsidRPr="005F3A9B">
        <w:rPr>
          <w:sz w:val="20"/>
          <w:szCs w:val="20"/>
        </w:rPr>
        <w:t>.</w:t>
      </w:r>
    </w:p>
  </w:footnote>
  <w:footnote w:id="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Gosselin </w:t>
      </w:r>
      <w:r w:rsidRPr="00B10024">
        <w:rPr>
          <w:iCs/>
          <w:sz w:val="20"/>
          <w:szCs w:val="20"/>
        </w:rPr>
        <w:t>(SCC)</w:t>
      </w:r>
      <w:r>
        <w:rPr>
          <w:iCs/>
          <w:sz w:val="20"/>
          <w:szCs w:val="20"/>
        </w:rPr>
        <w:t>,</w:t>
      </w:r>
      <w:r w:rsidRPr="005F3A9B">
        <w:rPr>
          <w:iCs/>
          <w:sz w:val="20"/>
          <w:szCs w:val="20"/>
        </w:rPr>
        <w:t xml:space="preserve"> </w:t>
      </w:r>
      <w:r>
        <w:rPr>
          <w:i/>
          <w:iCs/>
          <w:sz w:val="20"/>
          <w:szCs w:val="20"/>
        </w:rPr>
        <w:t>ibid</w:t>
      </w:r>
      <w:r w:rsidRPr="005F3A9B">
        <w:rPr>
          <w:iCs/>
          <w:sz w:val="20"/>
          <w:szCs w:val="20"/>
        </w:rPr>
        <w:t xml:space="preserve"> (</w:t>
      </w:r>
      <w:r w:rsidRPr="005F3A9B">
        <w:rPr>
          <w:i/>
          <w:iCs/>
          <w:sz w:val="20"/>
          <w:szCs w:val="20"/>
        </w:rPr>
        <w:t>Factum of the Appellant</w:t>
      </w:r>
      <w:r w:rsidRPr="005F3A9B">
        <w:rPr>
          <w:iCs/>
          <w:sz w:val="20"/>
          <w:szCs w:val="20"/>
        </w:rPr>
        <w:t xml:space="preserve"> at </w:t>
      </w:r>
      <w:r>
        <w:rPr>
          <w:iCs/>
          <w:sz w:val="20"/>
          <w:szCs w:val="20"/>
        </w:rPr>
        <w:t xml:space="preserve">para </w:t>
      </w:r>
      <w:r w:rsidRPr="005F3A9B">
        <w:rPr>
          <w:iCs/>
          <w:sz w:val="20"/>
          <w:szCs w:val="20"/>
        </w:rPr>
        <w:t>18)</w:t>
      </w:r>
      <w:r w:rsidRPr="005F3A9B">
        <w:rPr>
          <w:sz w:val="20"/>
          <w:szCs w:val="20"/>
        </w:rPr>
        <w:t>.</w:t>
      </w:r>
    </w:p>
  </w:footnote>
  <w:footnote w:id="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Cs/>
          <w:sz w:val="20"/>
          <w:szCs w:val="20"/>
        </w:rPr>
        <w:t xml:space="preserve"> (SCC),</w:t>
      </w:r>
      <w:r w:rsidRPr="005F3A9B">
        <w:rPr>
          <w:iCs/>
          <w:sz w:val="20"/>
          <w:szCs w:val="20"/>
        </w:rPr>
        <w:t xml:space="preserve"> </w:t>
      </w:r>
      <w:r w:rsidRPr="005F3A9B">
        <w:rPr>
          <w:i/>
          <w:iCs/>
          <w:sz w:val="20"/>
          <w:szCs w:val="20"/>
        </w:rPr>
        <w:t>ibid</w:t>
      </w:r>
      <w:r w:rsidRPr="005F3A9B">
        <w:rPr>
          <w:sz w:val="20"/>
          <w:szCs w:val="20"/>
        </w:rPr>
        <w:t>.</w:t>
      </w:r>
    </w:p>
  </w:footnote>
  <w:footnote w:id="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sz w:val="20"/>
          <w:szCs w:val="20"/>
          <w:vertAlign w:val="superscript"/>
        </w:rPr>
        <w:t xml:space="preserve"> </w:t>
      </w:r>
      <w:r w:rsidRPr="005F3A9B">
        <w:rPr>
          <w:sz w:val="20"/>
          <w:szCs w:val="20"/>
        </w:rPr>
        <w:t>In 1987 the benefit rate for those under-30 was $170/month as compared to Statistics Canada’s low-income cut-off of $914/month for a single person living in a large metropolitan area</w:t>
      </w:r>
      <w:r w:rsidRPr="005F3A9B">
        <w:rPr>
          <w:iCs/>
          <w:sz w:val="20"/>
          <w:szCs w:val="20"/>
        </w:rPr>
        <w:t xml:space="preserve">; </w:t>
      </w:r>
      <w:r w:rsidRPr="005F3A9B">
        <w:rPr>
          <w:i/>
          <w:iCs/>
          <w:sz w:val="20"/>
          <w:szCs w:val="20"/>
        </w:rPr>
        <w:t>Gosselin</w:t>
      </w:r>
      <w:r>
        <w:rPr>
          <w:iCs/>
          <w:sz w:val="20"/>
          <w:szCs w:val="20"/>
        </w:rPr>
        <w:t xml:space="preserve"> (SCC)</w:t>
      </w:r>
      <w:r w:rsidRPr="005F3A9B">
        <w:rPr>
          <w:iCs/>
          <w:sz w:val="20"/>
          <w:szCs w:val="20"/>
        </w:rPr>
        <w:t xml:space="preserve">, </w:t>
      </w:r>
      <w:r w:rsidRPr="00BE7298">
        <w:rPr>
          <w:i/>
          <w:iCs/>
          <w:sz w:val="20"/>
          <w:szCs w:val="20"/>
        </w:rPr>
        <w:t>ibid</w:t>
      </w:r>
      <w:r w:rsidRPr="005F3A9B">
        <w:rPr>
          <w:iCs/>
          <w:sz w:val="20"/>
          <w:szCs w:val="20"/>
        </w:rPr>
        <w:t xml:space="preserve"> </w:t>
      </w:r>
      <w:r>
        <w:rPr>
          <w:sz w:val="20"/>
          <w:szCs w:val="20"/>
        </w:rPr>
        <w:t>at para</w:t>
      </w:r>
      <w:r w:rsidRPr="005F3A9B">
        <w:rPr>
          <w:sz w:val="20"/>
          <w:szCs w:val="20"/>
        </w:rPr>
        <w:t xml:space="preserve"> 7; </w:t>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 xml:space="preserve">, </w:t>
      </w:r>
      <w:r w:rsidRPr="005F3A9B">
        <w:rPr>
          <w:i/>
          <w:iCs/>
          <w:sz w:val="20"/>
          <w:szCs w:val="20"/>
        </w:rPr>
        <w:t>supra</w:t>
      </w:r>
      <w:r w:rsidRPr="005F3A9B">
        <w:rPr>
          <w:iCs/>
          <w:sz w:val="20"/>
          <w:szCs w:val="20"/>
        </w:rPr>
        <w:t xml:space="preserve"> </w:t>
      </w:r>
      <w:r>
        <w:rPr>
          <w:iCs/>
          <w:sz w:val="20"/>
          <w:szCs w:val="20"/>
        </w:rPr>
        <w:t>note 5</w:t>
      </w:r>
      <w:r w:rsidRPr="005F3A9B">
        <w:rPr>
          <w:iCs/>
          <w:sz w:val="20"/>
          <w:szCs w:val="20"/>
        </w:rPr>
        <w:t xml:space="preserve"> at 1660</w:t>
      </w:r>
      <w:r w:rsidRPr="005F3A9B">
        <w:rPr>
          <w:sz w:val="20"/>
          <w:szCs w:val="20"/>
        </w:rPr>
        <w:t>.</w:t>
      </w:r>
    </w:p>
  </w:footnote>
  <w:footnote w:id="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
          <w:iCs/>
          <w:sz w:val="20"/>
          <w:szCs w:val="20"/>
        </w:rPr>
        <w:t xml:space="preserve"> </w:t>
      </w:r>
      <w:r w:rsidRPr="00B10024">
        <w:rPr>
          <w:iCs/>
          <w:sz w:val="20"/>
          <w:szCs w:val="20"/>
        </w:rPr>
        <w:t>(SCC)</w:t>
      </w:r>
      <w:r>
        <w:rPr>
          <w:iCs/>
          <w:sz w:val="20"/>
          <w:szCs w:val="20"/>
        </w:rPr>
        <w:t>,</w:t>
      </w:r>
      <w:r>
        <w:rPr>
          <w:i/>
          <w:iCs/>
          <w:sz w:val="20"/>
          <w:szCs w:val="20"/>
        </w:rPr>
        <w:t xml:space="preserve"> ibid</w:t>
      </w:r>
      <w:r w:rsidRPr="005F3A9B">
        <w:rPr>
          <w:sz w:val="20"/>
          <w:szCs w:val="20"/>
        </w:rPr>
        <w:t xml:space="preserve"> at paras 82-83.</w:t>
      </w:r>
    </w:p>
  </w:footnote>
  <w:footnote w:id="10">
    <w:p w:rsidR="00B356AA" w:rsidRPr="00F054FE" w:rsidRDefault="00B356AA" w:rsidP="00F054FE">
      <w:pPr>
        <w:spacing w:after="0"/>
        <w:rPr>
          <w:sz w:val="20"/>
          <w:szCs w:val="20"/>
        </w:rPr>
      </w:pPr>
      <w:r w:rsidRPr="005F3A9B">
        <w:rPr>
          <w:rStyle w:val="Appelnotedebasdep"/>
          <w:sz w:val="20"/>
          <w:szCs w:val="20"/>
          <w:vertAlign w:val="superscript"/>
        </w:rPr>
        <w:footnoteRef/>
      </w:r>
      <w:r>
        <w:rPr>
          <w:iCs/>
          <w:sz w:val="20"/>
          <w:szCs w:val="20"/>
        </w:rPr>
        <w:t xml:space="preserve">For recent overviews of the incidence and impact of poverty in Canada, see: Citizens for Public Justice, </w:t>
      </w:r>
      <w:r w:rsidRPr="00C15D4F">
        <w:rPr>
          <w:i/>
          <w:iCs/>
          <w:sz w:val="20"/>
          <w:szCs w:val="20"/>
        </w:rPr>
        <w:t>Poverty Trends 2017</w:t>
      </w:r>
      <w:r>
        <w:rPr>
          <w:iCs/>
          <w:sz w:val="20"/>
          <w:szCs w:val="20"/>
        </w:rPr>
        <w:t xml:space="preserve"> (Ottawa: Citizens for Public Justice, 2017) [</w:t>
      </w:r>
      <w:r w:rsidRPr="003B3F1B">
        <w:rPr>
          <w:i/>
          <w:iCs/>
          <w:sz w:val="20"/>
          <w:szCs w:val="20"/>
        </w:rPr>
        <w:t>Poverty Trends 2017</w:t>
      </w:r>
      <w:r>
        <w:rPr>
          <w:iCs/>
          <w:sz w:val="20"/>
          <w:szCs w:val="20"/>
        </w:rPr>
        <w:t xml:space="preserve">]; Canadian Centre for Policy Alternatives, </w:t>
      </w:r>
      <w:r w:rsidRPr="002E2995">
        <w:rPr>
          <w:i/>
          <w:iCs/>
          <w:sz w:val="20"/>
          <w:szCs w:val="20"/>
        </w:rPr>
        <w:t>High Stakes, Clear Choices: Alternative Federal Budget 2017</w:t>
      </w:r>
      <w:r>
        <w:rPr>
          <w:iCs/>
          <w:sz w:val="20"/>
          <w:szCs w:val="20"/>
        </w:rPr>
        <w:t xml:space="preserve"> (Ottawa: Canadian Centre for Policy Alternatives, 2017) 118-121.  See also: Canada Without Poverty &amp; Citizens for Social Justice, </w:t>
      </w:r>
      <w:r w:rsidRPr="002E2995">
        <w:rPr>
          <w:i/>
          <w:iCs/>
          <w:sz w:val="20"/>
          <w:szCs w:val="20"/>
        </w:rPr>
        <w:t>Dignity for All: A National Anti-poverty Plan for Canada</w:t>
      </w:r>
      <w:r>
        <w:rPr>
          <w:iCs/>
          <w:sz w:val="20"/>
          <w:szCs w:val="20"/>
        </w:rPr>
        <w:t xml:space="preserve"> (Ottawa: Dignity for All, 2015); Melissa Brittain &amp; Cindy Blackstock, </w:t>
      </w:r>
      <w:r w:rsidRPr="00F4325B">
        <w:rPr>
          <w:i/>
          <w:iCs/>
          <w:sz w:val="20"/>
          <w:szCs w:val="20"/>
        </w:rPr>
        <w:t>First Nations Child Poverty: A Literature Review and Analysis</w:t>
      </w:r>
      <w:r>
        <w:rPr>
          <w:iCs/>
          <w:sz w:val="20"/>
          <w:szCs w:val="20"/>
        </w:rPr>
        <w:t xml:space="preserve"> (Ottawa: First Nations Children’s Action Research and Education Service, 2015);Valerie </w:t>
      </w:r>
      <w:r w:rsidRPr="00F4325B">
        <w:rPr>
          <w:iCs/>
          <w:sz w:val="20"/>
          <w:szCs w:val="20"/>
        </w:rPr>
        <w:t xml:space="preserve">Tarasuk, </w:t>
      </w:r>
      <w:r>
        <w:rPr>
          <w:iCs/>
          <w:sz w:val="20"/>
          <w:szCs w:val="20"/>
        </w:rPr>
        <w:t xml:space="preserve">Andy </w:t>
      </w:r>
      <w:r w:rsidRPr="00F4325B">
        <w:rPr>
          <w:iCs/>
          <w:sz w:val="20"/>
          <w:szCs w:val="20"/>
        </w:rPr>
        <w:t>Mitchell</w:t>
      </w:r>
      <w:r>
        <w:rPr>
          <w:iCs/>
          <w:sz w:val="20"/>
          <w:szCs w:val="20"/>
        </w:rPr>
        <w:t xml:space="preserve"> &amp; Naomi </w:t>
      </w:r>
      <w:r w:rsidRPr="00F4325B">
        <w:rPr>
          <w:iCs/>
          <w:sz w:val="20"/>
          <w:szCs w:val="20"/>
        </w:rPr>
        <w:t>Dachner,</w:t>
      </w:r>
      <w:r>
        <w:rPr>
          <w:iCs/>
          <w:sz w:val="20"/>
          <w:szCs w:val="20"/>
        </w:rPr>
        <w:t xml:space="preserve"> </w:t>
      </w:r>
      <w:r w:rsidRPr="00F4325B">
        <w:rPr>
          <w:i/>
          <w:iCs/>
          <w:sz w:val="20"/>
          <w:szCs w:val="20"/>
        </w:rPr>
        <w:t xml:space="preserve">Household </w:t>
      </w:r>
      <w:r>
        <w:rPr>
          <w:i/>
          <w:iCs/>
          <w:sz w:val="20"/>
          <w:szCs w:val="20"/>
        </w:rPr>
        <w:t>F</w:t>
      </w:r>
      <w:r w:rsidRPr="00F4325B">
        <w:rPr>
          <w:i/>
          <w:iCs/>
          <w:sz w:val="20"/>
          <w:szCs w:val="20"/>
        </w:rPr>
        <w:t xml:space="preserve">ood </w:t>
      </w:r>
      <w:r>
        <w:rPr>
          <w:i/>
          <w:iCs/>
          <w:sz w:val="20"/>
          <w:szCs w:val="20"/>
        </w:rPr>
        <w:t>I</w:t>
      </w:r>
      <w:r w:rsidRPr="00F4325B">
        <w:rPr>
          <w:i/>
          <w:iCs/>
          <w:sz w:val="20"/>
          <w:szCs w:val="20"/>
        </w:rPr>
        <w:t>nsecurity in Canad</w:t>
      </w:r>
      <w:r>
        <w:rPr>
          <w:i/>
          <w:iCs/>
          <w:sz w:val="20"/>
          <w:szCs w:val="20"/>
        </w:rPr>
        <w:t>a, 2014</w:t>
      </w:r>
      <w:r>
        <w:rPr>
          <w:iCs/>
          <w:sz w:val="20"/>
          <w:szCs w:val="20"/>
        </w:rPr>
        <w:t xml:space="preserve"> (</w:t>
      </w:r>
      <w:r w:rsidRPr="00F4325B">
        <w:rPr>
          <w:iCs/>
          <w:sz w:val="20"/>
          <w:szCs w:val="20"/>
        </w:rPr>
        <w:t xml:space="preserve">Toronto: Research to </w:t>
      </w:r>
      <w:r>
        <w:rPr>
          <w:iCs/>
          <w:sz w:val="20"/>
          <w:szCs w:val="20"/>
        </w:rPr>
        <w:t>I</w:t>
      </w:r>
      <w:r w:rsidRPr="00F4325B">
        <w:rPr>
          <w:iCs/>
          <w:sz w:val="20"/>
          <w:szCs w:val="20"/>
        </w:rPr>
        <w:t xml:space="preserve">dentify </w:t>
      </w:r>
      <w:r>
        <w:rPr>
          <w:iCs/>
          <w:sz w:val="20"/>
          <w:szCs w:val="20"/>
        </w:rPr>
        <w:t>P</w:t>
      </w:r>
      <w:r w:rsidRPr="00F4325B">
        <w:rPr>
          <w:iCs/>
          <w:sz w:val="20"/>
          <w:szCs w:val="20"/>
        </w:rPr>
        <w:t xml:space="preserve">olicy </w:t>
      </w:r>
      <w:r>
        <w:rPr>
          <w:iCs/>
          <w:sz w:val="20"/>
          <w:szCs w:val="20"/>
        </w:rPr>
        <w:t>O</w:t>
      </w:r>
      <w:r w:rsidRPr="00F4325B">
        <w:rPr>
          <w:iCs/>
          <w:sz w:val="20"/>
          <w:szCs w:val="20"/>
        </w:rPr>
        <w:t xml:space="preserve">ptions to </w:t>
      </w:r>
      <w:r>
        <w:rPr>
          <w:iCs/>
          <w:sz w:val="20"/>
          <w:szCs w:val="20"/>
        </w:rPr>
        <w:t>R</w:t>
      </w:r>
      <w:r w:rsidRPr="00F4325B">
        <w:rPr>
          <w:iCs/>
          <w:sz w:val="20"/>
          <w:szCs w:val="20"/>
        </w:rPr>
        <w:t xml:space="preserve">educe </w:t>
      </w:r>
      <w:r>
        <w:rPr>
          <w:iCs/>
          <w:sz w:val="20"/>
          <w:szCs w:val="20"/>
        </w:rPr>
        <w:t>F</w:t>
      </w:r>
      <w:r w:rsidRPr="00F4325B">
        <w:rPr>
          <w:iCs/>
          <w:sz w:val="20"/>
          <w:szCs w:val="20"/>
        </w:rPr>
        <w:t xml:space="preserve">ood </w:t>
      </w:r>
      <w:r>
        <w:rPr>
          <w:iCs/>
          <w:sz w:val="20"/>
          <w:szCs w:val="20"/>
        </w:rPr>
        <w:t>I</w:t>
      </w:r>
      <w:r w:rsidRPr="00F4325B">
        <w:rPr>
          <w:iCs/>
          <w:sz w:val="20"/>
          <w:szCs w:val="20"/>
        </w:rPr>
        <w:t>nsecurity</w:t>
      </w:r>
      <w:r>
        <w:rPr>
          <w:iCs/>
          <w:sz w:val="20"/>
          <w:szCs w:val="20"/>
        </w:rPr>
        <w:t xml:space="preserve"> (PROOF), 2014); House of Commons Standing Committee on Human Resources, Skills and Social Development and the Status of Persons with Disabilities, </w:t>
      </w:r>
      <w:r w:rsidRPr="006046FE">
        <w:rPr>
          <w:i/>
          <w:iCs/>
          <w:sz w:val="20"/>
          <w:szCs w:val="20"/>
        </w:rPr>
        <w:t>Federal Poverty Reduction Plan: Working in Partnership Towards Reducing Poverty in Canada</w:t>
      </w:r>
      <w:r>
        <w:rPr>
          <w:iCs/>
          <w:sz w:val="20"/>
          <w:szCs w:val="20"/>
        </w:rPr>
        <w:t xml:space="preserve"> (November 2010) (Chair: Candice Hoeppner); Senate, Subcommittee on Cities of the Standing Senate Committee on Social Affairs, Science and Technology, </w:t>
      </w:r>
      <w:r w:rsidRPr="00FA5BC4">
        <w:rPr>
          <w:i/>
          <w:iCs/>
          <w:sz w:val="20"/>
          <w:szCs w:val="20"/>
        </w:rPr>
        <w:t>In from the Margins: A Call to Action on Poverty, Housing and Homelessness</w:t>
      </w:r>
      <w:r>
        <w:rPr>
          <w:iCs/>
          <w:sz w:val="20"/>
          <w:szCs w:val="20"/>
        </w:rPr>
        <w:t xml:space="preserve"> (December 2009) (Chair: Honourable Art Eggleton, PC).</w:t>
      </w:r>
    </w:p>
  </w:footnote>
  <w:footnote w:id="1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 xml:space="preserve"> </w:t>
      </w:r>
      <w:r w:rsidRPr="005F3A9B">
        <w:rPr>
          <w:i/>
          <w:iCs/>
          <w:sz w:val="20"/>
          <w:szCs w:val="20"/>
        </w:rPr>
        <w:t>supra</w:t>
      </w:r>
      <w:r w:rsidRPr="005F3A9B">
        <w:rPr>
          <w:iCs/>
          <w:sz w:val="20"/>
          <w:szCs w:val="20"/>
        </w:rPr>
        <w:t xml:space="preserve"> </w:t>
      </w:r>
      <w:r>
        <w:rPr>
          <w:iCs/>
          <w:sz w:val="20"/>
          <w:szCs w:val="20"/>
        </w:rPr>
        <w:t>note 5</w:t>
      </w:r>
      <w:r w:rsidRPr="005F3A9B">
        <w:rPr>
          <w:iCs/>
          <w:sz w:val="20"/>
          <w:szCs w:val="20"/>
        </w:rPr>
        <w:t xml:space="preserve"> at 1659</w:t>
      </w:r>
      <w:r w:rsidRPr="005F3A9B">
        <w:rPr>
          <w:sz w:val="20"/>
          <w:szCs w:val="20"/>
        </w:rPr>
        <w:t>.</w:t>
      </w:r>
    </w:p>
  </w:footnote>
  <w:footnote w:id="1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Regulation Respecting Social Aid</w:t>
      </w:r>
      <w:r>
        <w:rPr>
          <w:iCs/>
          <w:sz w:val="20"/>
          <w:szCs w:val="20"/>
        </w:rPr>
        <w:t>, RRQ, c</w:t>
      </w:r>
      <w:r w:rsidRPr="005F3A9B">
        <w:rPr>
          <w:iCs/>
          <w:sz w:val="20"/>
          <w:szCs w:val="20"/>
        </w:rPr>
        <w:t xml:space="preserve"> A-1</w:t>
      </w:r>
      <w:r>
        <w:rPr>
          <w:iCs/>
          <w:sz w:val="20"/>
          <w:szCs w:val="20"/>
        </w:rPr>
        <w:t>6, r</w:t>
      </w:r>
      <w:r w:rsidRPr="005F3A9B">
        <w:rPr>
          <w:iCs/>
          <w:sz w:val="20"/>
          <w:szCs w:val="20"/>
        </w:rPr>
        <w:t xml:space="preserve"> 1</w:t>
      </w:r>
      <w:r>
        <w:rPr>
          <w:iCs/>
          <w:sz w:val="20"/>
          <w:szCs w:val="20"/>
        </w:rPr>
        <w:t>, s</w:t>
      </w:r>
      <w:r w:rsidRPr="005F3A9B">
        <w:rPr>
          <w:iCs/>
          <w:sz w:val="20"/>
          <w:szCs w:val="20"/>
        </w:rPr>
        <w:t xml:space="preserve"> 29(a)</w:t>
      </w:r>
      <w:r>
        <w:rPr>
          <w:iCs/>
          <w:sz w:val="20"/>
          <w:szCs w:val="20"/>
        </w:rPr>
        <w:t xml:space="preserve"> </w:t>
      </w:r>
      <w:r w:rsidRPr="005F3A9B">
        <w:rPr>
          <w:iCs/>
          <w:sz w:val="20"/>
          <w:szCs w:val="20"/>
        </w:rPr>
        <w:t>[</w:t>
      </w:r>
      <w:r w:rsidRPr="005F3A9B">
        <w:rPr>
          <w:i/>
          <w:iCs/>
          <w:sz w:val="20"/>
          <w:szCs w:val="20"/>
        </w:rPr>
        <w:t>Regulation</w:t>
      </w:r>
      <w:r>
        <w:rPr>
          <w:iCs/>
          <w:sz w:val="20"/>
          <w:szCs w:val="20"/>
        </w:rPr>
        <w:t>]</w:t>
      </w:r>
      <w:r w:rsidRPr="005F3A9B">
        <w:rPr>
          <w:sz w:val="20"/>
          <w:szCs w:val="20"/>
        </w:rPr>
        <w:t>.</w:t>
      </w:r>
      <w:r w:rsidRPr="005F3A9B">
        <w:rPr>
          <w:iCs/>
          <w:sz w:val="20"/>
          <w:szCs w:val="20"/>
        </w:rPr>
        <w:t xml:space="preserve"> </w:t>
      </w:r>
    </w:p>
  </w:footnote>
  <w:footnote w:id="1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Social Aid Act</w:t>
      </w:r>
      <w:r>
        <w:rPr>
          <w:iCs/>
          <w:sz w:val="20"/>
          <w:szCs w:val="20"/>
        </w:rPr>
        <w:t>, RSQ, c</w:t>
      </w:r>
      <w:r w:rsidRPr="005F3A9B">
        <w:rPr>
          <w:iCs/>
          <w:sz w:val="20"/>
          <w:szCs w:val="20"/>
        </w:rPr>
        <w:t xml:space="preserve"> A-17.</w:t>
      </w:r>
    </w:p>
  </w:footnote>
  <w:footnote w:id="1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Regulation</w:t>
      </w:r>
      <w:r w:rsidRPr="005F3A9B">
        <w:rPr>
          <w:iCs/>
          <w:sz w:val="20"/>
          <w:szCs w:val="20"/>
        </w:rPr>
        <w:t xml:space="preserve">, </w:t>
      </w:r>
      <w:r w:rsidRPr="005F3A9B">
        <w:rPr>
          <w:i/>
          <w:iCs/>
          <w:sz w:val="20"/>
          <w:szCs w:val="20"/>
        </w:rPr>
        <w:t>supra</w:t>
      </w:r>
      <w:r>
        <w:rPr>
          <w:iCs/>
          <w:sz w:val="20"/>
          <w:szCs w:val="20"/>
        </w:rPr>
        <w:t xml:space="preserve"> note 12, s</w:t>
      </w:r>
      <w:r w:rsidRPr="005F3A9B">
        <w:rPr>
          <w:iCs/>
          <w:sz w:val="20"/>
          <w:szCs w:val="20"/>
        </w:rPr>
        <w:t xml:space="preserve"> 23</w:t>
      </w:r>
      <w:r>
        <w:rPr>
          <w:iCs/>
          <w:sz w:val="20"/>
          <w:szCs w:val="20"/>
        </w:rPr>
        <w:t xml:space="preserve">; </w:t>
      </w:r>
      <w:r w:rsidRPr="00C779BC">
        <w:rPr>
          <w:i/>
          <w:iCs/>
          <w:sz w:val="20"/>
          <w:szCs w:val="20"/>
        </w:rPr>
        <w:t>Gosselin</w:t>
      </w:r>
      <w:r>
        <w:rPr>
          <w:iCs/>
          <w:sz w:val="20"/>
          <w:szCs w:val="20"/>
        </w:rPr>
        <w:t xml:space="preserve"> (SCC), </w:t>
      </w:r>
      <w:r w:rsidRPr="00BE7298">
        <w:rPr>
          <w:i/>
          <w:iCs/>
          <w:sz w:val="20"/>
          <w:szCs w:val="20"/>
        </w:rPr>
        <w:t>supra</w:t>
      </w:r>
      <w:r>
        <w:rPr>
          <w:iCs/>
          <w:sz w:val="20"/>
          <w:szCs w:val="20"/>
        </w:rPr>
        <w:t xml:space="preserve"> note 5 para 171</w:t>
      </w:r>
      <w:r w:rsidRPr="005F3A9B">
        <w:rPr>
          <w:iCs/>
          <w:sz w:val="20"/>
          <w:szCs w:val="20"/>
        </w:rPr>
        <w:t xml:space="preserve">; </w:t>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 xml:space="preserve">, </w:t>
      </w:r>
      <w:r w:rsidRPr="005F3A9B">
        <w:rPr>
          <w:i/>
          <w:iCs/>
          <w:sz w:val="20"/>
          <w:szCs w:val="20"/>
        </w:rPr>
        <w:t>supra</w:t>
      </w:r>
      <w:r w:rsidRPr="005F3A9B">
        <w:rPr>
          <w:iCs/>
          <w:sz w:val="20"/>
          <w:szCs w:val="20"/>
        </w:rPr>
        <w:t xml:space="preserve"> </w:t>
      </w:r>
      <w:r>
        <w:rPr>
          <w:iCs/>
          <w:sz w:val="20"/>
          <w:szCs w:val="20"/>
        </w:rPr>
        <w:t>note 5</w:t>
      </w:r>
      <w:r w:rsidRPr="005F3A9B">
        <w:rPr>
          <w:iCs/>
          <w:sz w:val="20"/>
          <w:szCs w:val="20"/>
        </w:rPr>
        <w:t xml:space="preserve"> at 1650-51</w:t>
      </w:r>
      <w:r w:rsidRPr="005F3A9B">
        <w:rPr>
          <w:sz w:val="20"/>
          <w:szCs w:val="20"/>
        </w:rPr>
        <w:t>.</w:t>
      </w:r>
    </w:p>
  </w:footnote>
  <w:footnote w:id="1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Gosselin</w:t>
      </w:r>
      <w:r>
        <w:rPr>
          <w:iCs/>
          <w:sz w:val="20"/>
          <w:szCs w:val="20"/>
        </w:rPr>
        <w:t xml:space="preserve"> (SCC)</w:t>
      </w:r>
      <w:r w:rsidRPr="005F3A9B">
        <w:rPr>
          <w:iCs/>
          <w:sz w:val="20"/>
          <w:szCs w:val="20"/>
        </w:rPr>
        <w:t xml:space="preserve">, </w:t>
      </w:r>
      <w:r>
        <w:rPr>
          <w:i/>
          <w:iCs/>
          <w:sz w:val="20"/>
          <w:szCs w:val="20"/>
        </w:rPr>
        <w:t>ibid</w:t>
      </w:r>
      <w:r w:rsidRPr="005F3A9B">
        <w:rPr>
          <w:iCs/>
          <w:sz w:val="20"/>
          <w:szCs w:val="20"/>
        </w:rPr>
        <w:t xml:space="preserve"> at </w:t>
      </w:r>
      <w:r>
        <w:rPr>
          <w:iCs/>
          <w:sz w:val="20"/>
          <w:szCs w:val="20"/>
        </w:rPr>
        <w:t xml:space="preserve">para 7; </w:t>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 xml:space="preserve"> </w:t>
      </w:r>
      <w:r>
        <w:rPr>
          <w:i/>
          <w:iCs/>
          <w:sz w:val="20"/>
          <w:szCs w:val="20"/>
        </w:rPr>
        <w:t>ibid</w:t>
      </w:r>
      <w:r w:rsidRPr="005F3A9B">
        <w:rPr>
          <w:iCs/>
          <w:sz w:val="20"/>
          <w:szCs w:val="20"/>
        </w:rPr>
        <w:t xml:space="preserve"> at 1650</w:t>
      </w:r>
      <w:r>
        <w:rPr>
          <w:iCs/>
          <w:sz w:val="20"/>
          <w:szCs w:val="20"/>
        </w:rPr>
        <w:t>.</w:t>
      </w:r>
    </w:p>
  </w:footnote>
  <w:footnote w:id="1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Gosselin </w:t>
      </w:r>
      <w:r>
        <w:rPr>
          <w:iCs/>
          <w:sz w:val="20"/>
          <w:szCs w:val="20"/>
        </w:rPr>
        <w:t xml:space="preserve">(SC), </w:t>
      </w:r>
      <w:r>
        <w:rPr>
          <w:i/>
          <w:iCs/>
          <w:sz w:val="20"/>
          <w:szCs w:val="20"/>
        </w:rPr>
        <w:t>ib</w:t>
      </w:r>
      <w:r w:rsidRPr="008C7817">
        <w:rPr>
          <w:i/>
          <w:iCs/>
          <w:sz w:val="20"/>
          <w:szCs w:val="20"/>
        </w:rPr>
        <w:t>id</w:t>
      </w:r>
      <w:r>
        <w:rPr>
          <w:iCs/>
          <w:sz w:val="20"/>
          <w:szCs w:val="20"/>
        </w:rPr>
        <w:t xml:space="preserve"> at 1661.</w:t>
      </w:r>
    </w:p>
  </w:footnote>
  <w:footnote w:id="1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Regulation</w:t>
      </w:r>
      <w:r>
        <w:rPr>
          <w:i/>
          <w:iCs/>
          <w:sz w:val="20"/>
          <w:szCs w:val="20"/>
        </w:rPr>
        <w:t xml:space="preserve"> Respecting Social Aid</w:t>
      </w:r>
      <w:r w:rsidRPr="005F3A9B">
        <w:rPr>
          <w:iCs/>
          <w:sz w:val="20"/>
          <w:szCs w:val="20"/>
        </w:rPr>
        <w:t xml:space="preserve">, </w:t>
      </w:r>
      <w:r w:rsidRPr="005F3A9B">
        <w:rPr>
          <w:i/>
          <w:iCs/>
          <w:sz w:val="20"/>
          <w:szCs w:val="20"/>
        </w:rPr>
        <w:t>supra</w:t>
      </w:r>
      <w:r>
        <w:rPr>
          <w:iCs/>
          <w:sz w:val="20"/>
          <w:szCs w:val="20"/>
        </w:rPr>
        <w:t xml:space="preserve"> note 12, s 35</w:t>
      </w:r>
      <w:r w:rsidRPr="005F3A9B">
        <w:rPr>
          <w:iCs/>
          <w:sz w:val="20"/>
          <w:szCs w:val="20"/>
        </w:rPr>
        <w:t xml:space="preserve">; </w:t>
      </w:r>
      <w:r w:rsidRPr="002B2C69">
        <w:rPr>
          <w:i/>
          <w:iCs/>
          <w:sz w:val="20"/>
          <w:szCs w:val="20"/>
        </w:rPr>
        <w:t>Gosselin</w:t>
      </w:r>
      <w:r>
        <w:rPr>
          <w:iCs/>
          <w:sz w:val="20"/>
          <w:szCs w:val="20"/>
        </w:rPr>
        <w:t xml:space="preserve"> (SCC), </w:t>
      </w:r>
      <w:r>
        <w:rPr>
          <w:i/>
          <w:iCs/>
          <w:sz w:val="20"/>
          <w:szCs w:val="20"/>
        </w:rPr>
        <w:t>supra</w:t>
      </w:r>
      <w:r>
        <w:rPr>
          <w:iCs/>
          <w:sz w:val="20"/>
          <w:szCs w:val="20"/>
        </w:rPr>
        <w:t xml:space="preserve"> note 5 at paras 159-162; </w:t>
      </w:r>
      <w:r w:rsidRPr="005F3A9B">
        <w:rPr>
          <w:i/>
          <w:iCs/>
          <w:sz w:val="20"/>
          <w:szCs w:val="20"/>
        </w:rPr>
        <w:t>Gosselin</w:t>
      </w:r>
      <w:r w:rsidRPr="005F3A9B">
        <w:rPr>
          <w:iCs/>
          <w:sz w:val="20"/>
          <w:szCs w:val="20"/>
        </w:rPr>
        <w:t xml:space="preserve"> </w:t>
      </w:r>
      <w:r>
        <w:rPr>
          <w:iCs/>
          <w:sz w:val="20"/>
          <w:szCs w:val="20"/>
        </w:rPr>
        <w:t>(</w:t>
      </w:r>
      <w:r w:rsidRPr="005F3A9B">
        <w:rPr>
          <w:iCs/>
          <w:sz w:val="20"/>
          <w:szCs w:val="20"/>
        </w:rPr>
        <w:t>SC</w:t>
      </w:r>
      <w:r>
        <w:rPr>
          <w:iCs/>
          <w:sz w:val="20"/>
          <w:szCs w:val="20"/>
        </w:rPr>
        <w:t>)</w:t>
      </w:r>
      <w:r w:rsidRPr="005F3A9B">
        <w:rPr>
          <w:iCs/>
          <w:sz w:val="20"/>
          <w:szCs w:val="20"/>
        </w:rPr>
        <w:t xml:space="preserve">, </w:t>
      </w:r>
      <w:r>
        <w:rPr>
          <w:i/>
          <w:iCs/>
          <w:sz w:val="20"/>
          <w:szCs w:val="20"/>
        </w:rPr>
        <w:t xml:space="preserve">ibid </w:t>
      </w:r>
      <w:r>
        <w:rPr>
          <w:iCs/>
          <w:sz w:val="20"/>
          <w:szCs w:val="20"/>
        </w:rPr>
        <w:t>at 1652, 1662.</w:t>
      </w:r>
    </w:p>
  </w:footnote>
  <w:footnote w:id="1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
          <w:iCs/>
          <w:sz w:val="20"/>
          <w:szCs w:val="20"/>
        </w:rPr>
        <w:t xml:space="preserve"> </w:t>
      </w:r>
      <w:r w:rsidRPr="00B10024">
        <w:rPr>
          <w:iCs/>
          <w:sz w:val="20"/>
          <w:szCs w:val="20"/>
        </w:rPr>
        <w:t>(SCC),</w:t>
      </w:r>
      <w:r w:rsidRPr="005F3A9B">
        <w:rPr>
          <w:iCs/>
          <w:sz w:val="20"/>
          <w:szCs w:val="20"/>
        </w:rPr>
        <w:t xml:space="preserve"> </w:t>
      </w:r>
      <w:r>
        <w:rPr>
          <w:i/>
          <w:iCs/>
          <w:sz w:val="20"/>
          <w:szCs w:val="20"/>
        </w:rPr>
        <w:t>ibid</w:t>
      </w:r>
      <w:r w:rsidRPr="005F3A9B">
        <w:rPr>
          <w:sz w:val="20"/>
          <w:szCs w:val="20"/>
        </w:rPr>
        <w:t xml:space="preserve"> (</w:t>
      </w:r>
      <w:r w:rsidRPr="005F3A9B">
        <w:rPr>
          <w:i/>
          <w:iCs/>
          <w:sz w:val="20"/>
          <w:szCs w:val="20"/>
        </w:rPr>
        <w:t>Factum of the Appellant</w:t>
      </w:r>
      <w:r w:rsidRPr="005F3A9B">
        <w:rPr>
          <w:iCs/>
          <w:sz w:val="20"/>
          <w:szCs w:val="20"/>
        </w:rPr>
        <w:t xml:space="preserve"> at paras 114-128)</w:t>
      </w:r>
      <w:r>
        <w:rPr>
          <w:iCs/>
          <w:sz w:val="20"/>
          <w:szCs w:val="20"/>
        </w:rPr>
        <w:t xml:space="preserve">; </w:t>
      </w:r>
      <w:r w:rsidRPr="005F3A9B">
        <w:rPr>
          <w:i/>
          <w:iCs/>
          <w:sz w:val="20"/>
          <w:szCs w:val="20"/>
        </w:rPr>
        <w:t>Gosselin</w:t>
      </w:r>
      <w:r>
        <w:rPr>
          <w:i/>
          <w:iCs/>
          <w:sz w:val="20"/>
          <w:szCs w:val="20"/>
        </w:rPr>
        <w:t xml:space="preserve"> </w:t>
      </w:r>
      <w:r w:rsidRPr="00B10024">
        <w:rPr>
          <w:iCs/>
          <w:sz w:val="20"/>
          <w:szCs w:val="20"/>
        </w:rPr>
        <w:t>(SCC)</w:t>
      </w:r>
      <w:r w:rsidRPr="005F3A9B">
        <w:rPr>
          <w:iCs/>
          <w:sz w:val="20"/>
          <w:szCs w:val="20"/>
        </w:rPr>
        <w:t>,</w:t>
      </w:r>
      <w:r w:rsidRPr="005F3A9B">
        <w:rPr>
          <w:i/>
          <w:iCs/>
          <w:sz w:val="20"/>
          <w:szCs w:val="20"/>
        </w:rPr>
        <w:t xml:space="preserve"> </w:t>
      </w:r>
      <w:r>
        <w:rPr>
          <w:i/>
          <w:iCs/>
          <w:sz w:val="20"/>
          <w:szCs w:val="20"/>
        </w:rPr>
        <w:t xml:space="preserve">ibid </w:t>
      </w:r>
      <w:r>
        <w:rPr>
          <w:sz w:val="20"/>
          <w:szCs w:val="20"/>
        </w:rPr>
        <w:t>at paras 158-163, 276-286</w:t>
      </w:r>
      <w:r w:rsidRPr="005F3A9B">
        <w:rPr>
          <w:sz w:val="20"/>
          <w:szCs w:val="20"/>
        </w:rPr>
        <w:t>.</w:t>
      </w:r>
    </w:p>
  </w:footnote>
  <w:footnote w:id="1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
          <w:iCs/>
          <w:sz w:val="20"/>
          <w:szCs w:val="20"/>
        </w:rPr>
        <w:t xml:space="preserve"> </w:t>
      </w:r>
      <w:r w:rsidRPr="00B10024">
        <w:rPr>
          <w:iCs/>
          <w:sz w:val="20"/>
          <w:szCs w:val="20"/>
        </w:rPr>
        <w:t>(SCC)</w:t>
      </w:r>
      <w:r w:rsidRPr="005F3A9B">
        <w:rPr>
          <w:iCs/>
          <w:sz w:val="20"/>
          <w:szCs w:val="20"/>
        </w:rPr>
        <w:t xml:space="preserve">, </w:t>
      </w:r>
      <w:r>
        <w:rPr>
          <w:i/>
          <w:iCs/>
          <w:sz w:val="20"/>
          <w:szCs w:val="20"/>
        </w:rPr>
        <w:t>ibid</w:t>
      </w:r>
      <w:r w:rsidRPr="005F3A9B">
        <w:rPr>
          <w:sz w:val="20"/>
          <w:szCs w:val="20"/>
        </w:rPr>
        <w:t xml:space="preserve"> (</w:t>
      </w:r>
      <w:r w:rsidRPr="005F3A9B">
        <w:rPr>
          <w:i/>
          <w:iCs/>
          <w:sz w:val="20"/>
          <w:szCs w:val="20"/>
        </w:rPr>
        <w:t>Factum of the Appellant</w:t>
      </w:r>
      <w:r w:rsidRPr="005F3A9B">
        <w:rPr>
          <w:iCs/>
          <w:sz w:val="20"/>
          <w:szCs w:val="20"/>
        </w:rPr>
        <w:t xml:space="preserve"> at </w:t>
      </w:r>
      <w:r>
        <w:rPr>
          <w:iCs/>
          <w:sz w:val="20"/>
          <w:szCs w:val="20"/>
        </w:rPr>
        <w:t xml:space="preserve">para </w:t>
      </w:r>
      <w:r w:rsidRPr="005F3A9B">
        <w:rPr>
          <w:iCs/>
          <w:sz w:val="20"/>
          <w:szCs w:val="20"/>
        </w:rPr>
        <w:t>114)</w:t>
      </w:r>
      <w:r>
        <w:rPr>
          <w:iCs/>
          <w:sz w:val="20"/>
          <w:szCs w:val="20"/>
        </w:rPr>
        <w:t xml:space="preserve">; </w:t>
      </w:r>
      <w:r w:rsidRPr="005F3A9B">
        <w:rPr>
          <w:i/>
          <w:iCs/>
          <w:sz w:val="20"/>
          <w:szCs w:val="20"/>
        </w:rPr>
        <w:t>Gosselin</w:t>
      </w:r>
      <w:r>
        <w:rPr>
          <w:i/>
          <w:iCs/>
          <w:sz w:val="20"/>
          <w:szCs w:val="20"/>
        </w:rPr>
        <w:t xml:space="preserve"> </w:t>
      </w:r>
      <w:r w:rsidRPr="00B10024">
        <w:rPr>
          <w:iCs/>
          <w:sz w:val="20"/>
          <w:szCs w:val="20"/>
        </w:rPr>
        <w:t>(SCC)</w:t>
      </w:r>
      <w:r w:rsidRPr="005F3A9B">
        <w:rPr>
          <w:iCs/>
          <w:sz w:val="20"/>
          <w:szCs w:val="20"/>
        </w:rPr>
        <w:t xml:space="preserve">, </w:t>
      </w:r>
      <w:r>
        <w:rPr>
          <w:i/>
          <w:iCs/>
          <w:sz w:val="20"/>
          <w:szCs w:val="20"/>
        </w:rPr>
        <w:t xml:space="preserve">ibid </w:t>
      </w:r>
      <w:r w:rsidRPr="002B2C69">
        <w:rPr>
          <w:iCs/>
          <w:sz w:val="20"/>
          <w:szCs w:val="20"/>
        </w:rPr>
        <w:t>at</w:t>
      </w:r>
      <w:r w:rsidRPr="002B2C69">
        <w:rPr>
          <w:sz w:val="20"/>
          <w:szCs w:val="20"/>
        </w:rPr>
        <w:t xml:space="preserve"> </w:t>
      </w:r>
      <w:r>
        <w:rPr>
          <w:sz w:val="20"/>
          <w:szCs w:val="20"/>
        </w:rPr>
        <w:t>para 283</w:t>
      </w:r>
      <w:r w:rsidRPr="005F3A9B">
        <w:rPr>
          <w:sz w:val="20"/>
          <w:szCs w:val="20"/>
        </w:rPr>
        <w:t>.</w:t>
      </w:r>
    </w:p>
  </w:footnote>
  <w:footnote w:id="2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
          <w:iCs/>
          <w:sz w:val="20"/>
          <w:szCs w:val="20"/>
        </w:rPr>
        <w:t xml:space="preserve"> </w:t>
      </w:r>
      <w:r w:rsidRPr="00B10024">
        <w:rPr>
          <w:iCs/>
          <w:sz w:val="20"/>
          <w:szCs w:val="20"/>
        </w:rPr>
        <w:t>(SCC)</w:t>
      </w:r>
      <w:r w:rsidRPr="005F3A9B">
        <w:rPr>
          <w:i/>
          <w:iCs/>
          <w:sz w:val="20"/>
          <w:szCs w:val="20"/>
        </w:rPr>
        <w:t xml:space="preserve"> </w:t>
      </w:r>
      <w:r>
        <w:rPr>
          <w:i/>
          <w:iCs/>
          <w:sz w:val="20"/>
          <w:szCs w:val="20"/>
        </w:rPr>
        <w:t xml:space="preserve">ibid </w:t>
      </w:r>
      <w:r w:rsidRPr="002B2C69">
        <w:rPr>
          <w:iCs/>
          <w:sz w:val="20"/>
          <w:szCs w:val="20"/>
        </w:rPr>
        <w:t>at</w:t>
      </w:r>
      <w:r w:rsidRPr="002B2C69">
        <w:rPr>
          <w:sz w:val="20"/>
          <w:szCs w:val="20"/>
        </w:rPr>
        <w:t xml:space="preserve"> </w:t>
      </w:r>
      <w:r>
        <w:rPr>
          <w:sz w:val="20"/>
          <w:szCs w:val="20"/>
        </w:rPr>
        <w:t>para 276</w:t>
      </w:r>
      <w:r w:rsidRPr="005F3A9B">
        <w:rPr>
          <w:sz w:val="20"/>
          <w:szCs w:val="20"/>
        </w:rPr>
        <w:t>.</w:t>
      </w:r>
    </w:p>
  </w:footnote>
  <w:footnote w:id="21">
    <w:p w:rsidR="00B356AA" w:rsidRPr="002B2C69" w:rsidRDefault="00B356AA" w:rsidP="003F1B0B">
      <w:pPr>
        <w:spacing w:after="0"/>
        <w:rPr>
          <w:sz w:val="20"/>
          <w:szCs w:val="20"/>
          <w:lang w:val="fr-CA"/>
        </w:rPr>
      </w:pPr>
      <w:r w:rsidRPr="005F3A9B">
        <w:rPr>
          <w:rStyle w:val="Appelnotedebasdep"/>
          <w:sz w:val="20"/>
          <w:szCs w:val="20"/>
          <w:vertAlign w:val="superscript"/>
        </w:rPr>
        <w:footnoteRef/>
      </w:r>
      <w:r w:rsidRPr="005F3A9B">
        <w:rPr>
          <w:i/>
          <w:iCs/>
          <w:sz w:val="20"/>
          <w:szCs w:val="20"/>
        </w:rPr>
        <w:t>Charter of Human Rights and Freedoms</w:t>
      </w:r>
      <w:r>
        <w:rPr>
          <w:sz w:val="20"/>
          <w:szCs w:val="20"/>
        </w:rPr>
        <w:t>, RSQ c C-12, s</w:t>
      </w:r>
      <w:r w:rsidRPr="005F3A9B">
        <w:rPr>
          <w:sz w:val="20"/>
          <w:szCs w:val="20"/>
        </w:rPr>
        <w:t xml:space="preserve"> 45</w:t>
      </w:r>
      <w:r>
        <w:rPr>
          <w:sz w:val="20"/>
          <w:szCs w:val="20"/>
        </w:rPr>
        <w:t xml:space="preserve"> [Québec </w:t>
      </w:r>
      <w:r w:rsidRPr="00435FEE">
        <w:rPr>
          <w:i/>
          <w:sz w:val="20"/>
          <w:szCs w:val="20"/>
        </w:rPr>
        <w:t>Charter</w:t>
      </w:r>
      <w:r>
        <w:rPr>
          <w:sz w:val="20"/>
          <w:szCs w:val="20"/>
        </w:rPr>
        <w:t>]</w:t>
      </w:r>
      <w:r w:rsidRPr="005F3A9B">
        <w:rPr>
          <w:sz w:val="20"/>
          <w:szCs w:val="20"/>
        </w:rPr>
        <w:t xml:space="preserve">.  </w:t>
      </w:r>
      <w:r w:rsidRPr="002B2C69">
        <w:rPr>
          <w:sz w:val="20"/>
          <w:szCs w:val="20"/>
        </w:rPr>
        <w:t xml:space="preserve">Section 45 provides: </w:t>
      </w:r>
      <w:r>
        <w:rPr>
          <w:sz w:val="20"/>
          <w:szCs w:val="20"/>
        </w:rPr>
        <w:t>“</w:t>
      </w:r>
      <w:r w:rsidRPr="002B2C69">
        <w:rPr>
          <w:sz w:val="20"/>
          <w:szCs w:val="20"/>
        </w:rPr>
        <w:t>Every person in need has a right, for himself and his family, to measures of financial assistance and to social measures provided for by law, susceptible of ensuring such person an acceptable standard of living.</w:t>
      </w:r>
      <w:r>
        <w:rPr>
          <w:sz w:val="20"/>
          <w:szCs w:val="20"/>
        </w:rPr>
        <w:t xml:space="preserve">”  </w:t>
      </w:r>
      <w:r w:rsidRPr="002B2C69">
        <w:rPr>
          <w:sz w:val="20"/>
          <w:szCs w:val="20"/>
          <w:lang w:val="fr-CA"/>
        </w:rPr>
        <w:t>See generally</w:t>
      </w:r>
      <w:r>
        <w:rPr>
          <w:sz w:val="20"/>
          <w:szCs w:val="20"/>
          <w:lang w:val="fr-CA"/>
        </w:rPr>
        <w:t>:</w:t>
      </w:r>
      <w:r w:rsidRPr="002B2C69">
        <w:rPr>
          <w:sz w:val="20"/>
          <w:szCs w:val="20"/>
          <w:lang w:val="fr-CA"/>
        </w:rPr>
        <w:t xml:space="preserve"> Pierre Bosset &amp; Lucie Lamarche, eds, </w:t>
      </w:r>
      <w:r w:rsidRPr="002B2C69">
        <w:rPr>
          <w:i/>
          <w:sz w:val="20"/>
          <w:szCs w:val="20"/>
          <w:lang w:val="fr-CA"/>
        </w:rPr>
        <w:t>Droit de cité pour les droit économiques, sociaux et culturels: La Charte québécoise en chantier</w:t>
      </w:r>
      <w:r w:rsidRPr="002B2C69">
        <w:rPr>
          <w:sz w:val="20"/>
          <w:szCs w:val="20"/>
          <w:lang w:val="fr-CA"/>
        </w:rPr>
        <w:t xml:space="preserve"> (Cowansville : Éditions Yvon Blais, 2011); David Robitaille, </w:t>
      </w:r>
      <w:r w:rsidRPr="002B2C69">
        <w:rPr>
          <w:i/>
          <w:sz w:val="20"/>
          <w:szCs w:val="20"/>
          <w:lang w:val="fr-CA"/>
        </w:rPr>
        <w:t>Normativité, interprétation et justification des droits économiques et sociaux: les cas québéc</w:t>
      </w:r>
      <w:r>
        <w:rPr>
          <w:i/>
          <w:sz w:val="20"/>
          <w:szCs w:val="20"/>
          <w:lang w:val="fr-CA"/>
        </w:rPr>
        <w:t>ois et sud-</w:t>
      </w:r>
      <w:r w:rsidRPr="002B2C69">
        <w:rPr>
          <w:i/>
          <w:sz w:val="20"/>
          <w:szCs w:val="20"/>
          <w:lang w:val="fr-CA"/>
        </w:rPr>
        <w:t>africain</w:t>
      </w:r>
      <w:r w:rsidRPr="002B2C69">
        <w:rPr>
          <w:sz w:val="20"/>
          <w:szCs w:val="20"/>
          <w:lang w:val="fr-CA"/>
        </w:rPr>
        <w:t xml:space="preserve"> (Brussels : Éditions Bruylant, 2011)</w:t>
      </w:r>
      <w:r>
        <w:rPr>
          <w:sz w:val="20"/>
          <w:szCs w:val="20"/>
          <w:lang w:val="fr-CA"/>
        </w:rPr>
        <w:t xml:space="preserve"> [Robitaille, </w:t>
      </w:r>
      <w:r w:rsidRPr="00C62C2E">
        <w:rPr>
          <w:i/>
          <w:sz w:val="20"/>
          <w:szCs w:val="20"/>
          <w:lang w:val="fr-CA"/>
        </w:rPr>
        <w:t>Droits économiques et sociaux</w:t>
      </w:r>
      <w:r>
        <w:rPr>
          <w:sz w:val="20"/>
          <w:szCs w:val="20"/>
          <w:lang w:val="fr-CA"/>
        </w:rPr>
        <w:t>]</w:t>
      </w:r>
      <w:r w:rsidRPr="002B2C69">
        <w:rPr>
          <w:sz w:val="20"/>
          <w:szCs w:val="20"/>
          <w:lang w:val="fr-CA"/>
        </w:rPr>
        <w:t xml:space="preserve">. </w:t>
      </w:r>
    </w:p>
  </w:footnote>
  <w:footnote w:id="22">
    <w:p w:rsidR="00B356AA" w:rsidRPr="005F3A9B" w:rsidRDefault="00B356AA" w:rsidP="00C779BC">
      <w:pPr>
        <w:spacing w:after="0"/>
        <w:rPr>
          <w:sz w:val="20"/>
          <w:szCs w:val="20"/>
        </w:rPr>
      </w:pPr>
      <w:r w:rsidRPr="005F3A9B">
        <w:rPr>
          <w:rStyle w:val="Appelnotedebasdep"/>
          <w:sz w:val="20"/>
          <w:szCs w:val="20"/>
          <w:vertAlign w:val="superscript"/>
        </w:rPr>
        <w:footnoteRef/>
      </w:r>
      <w:r w:rsidRPr="00A86848">
        <w:rPr>
          <w:iCs/>
          <w:sz w:val="20"/>
          <w:szCs w:val="20"/>
        </w:rPr>
        <w:t>At the Supreme Court of Canada</w:t>
      </w:r>
      <w:r>
        <w:rPr>
          <w:iCs/>
          <w:sz w:val="20"/>
          <w:szCs w:val="20"/>
        </w:rPr>
        <w:t xml:space="preserve">, the record in </w:t>
      </w:r>
      <w:r w:rsidRPr="00344AA8">
        <w:rPr>
          <w:i/>
          <w:iCs/>
          <w:sz w:val="20"/>
          <w:szCs w:val="20"/>
        </w:rPr>
        <w:t>Gosselin</w:t>
      </w:r>
      <w:r>
        <w:rPr>
          <w:iCs/>
          <w:sz w:val="20"/>
          <w:szCs w:val="20"/>
        </w:rPr>
        <w:t xml:space="preserve"> totalled 19 volumes and some 5000 pages; see: </w:t>
      </w:r>
      <w:r w:rsidRPr="00A86848">
        <w:rPr>
          <w:iCs/>
          <w:sz w:val="20"/>
          <w:szCs w:val="20"/>
        </w:rPr>
        <w:t>http://www.scc-csc.ca/case-dossier/info/dock-regi-eng.aspx?cas=27418</w:t>
      </w:r>
      <w:r>
        <w:rPr>
          <w:iCs/>
          <w:sz w:val="20"/>
          <w:szCs w:val="20"/>
        </w:rPr>
        <w:t>.</w:t>
      </w:r>
    </w:p>
  </w:footnote>
  <w:footnote w:id="23">
    <w:p w:rsidR="00B356AA" w:rsidRPr="005F3A9B" w:rsidRDefault="00B356AA" w:rsidP="005F3A9B">
      <w:pPr>
        <w:spacing w:after="0"/>
        <w:rPr>
          <w:sz w:val="20"/>
          <w:szCs w:val="20"/>
        </w:rPr>
      </w:pPr>
      <w:r w:rsidRPr="005F3A9B">
        <w:rPr>
          <w:rStyle w:val="Appelnotedebasdep"/>
          <w:sz w:val="20"/>
          <w:szCs w:val="20"/>
          <w:vertAlign w:val="superscript"/>
        </w:rPr>
        <w:footnoteRef/>
      </w:r>
      <w:r>
        <w:rPr>
          <w:sz w:val="20"/>
          <w:szCs w:val="20"/>
        </w:rPr>
        <w:t xml:space="preserve"> </w:t>
      </w:r>
      <w:r w:rsidRPr="005F3A9B">
        <w:rPr>
          <w:i/>
          <w:sz w:val="20"/>
          <w:szCs w:val="20"/>
        </w:rPr>
        <w:t>Gosselin</w:t>
      </w:r>
      <w:r w:rsidRPr="005F3A9B">
        <w:rPr>
          <w:sz w:val="20"/>
          <w:szCs w:val="20"/>
        </w:rPr>
        <w:t xml:space="preserve">, </w:t>
      </w:r>
      <w:r>
        <w:rPr>
          <w:sz w:val="20"/>
          <w:szCs w:val="20"/>
        </w:rPr>
        <w:t>(</w:t>
      </w:r>
      <w:r w:rsidRPr="005F3A9B">
        <w:rPr>
          <w:sz w:val="20"/>
          <w:szCs w:val="20"/>
        </w:rPr>
        <w:t>SC</w:t>
      </w:r>
      <w:r>
        <w:rPr>
          <w:sz w:val="20"/>
          <w:szCs w:val="20"/>
        </w:rPr>
        <w:t>)</w:t>
      </w:r>
      <w:r w:rsidRPr="005F3A9B">
        <w:rPr>
          <w:sz w:val="20"/>
          <w:szCs w:val="20"/>
        </w:rPr>
        <w:t xml:space="preserve">, </w:t>
      </w:r>
      <w:r w:rsidRPr="005F3A9B">
        <w:rPr>
          <w:i/>
          <w:sz w:val="20"/>
          <w:szCs w:val="20"/>
        </w:rPr>
        <w:t>supra</w:t>
      </w:r>
      <w:r w:rsidRPr="005F3A9B">
        <w:rPr>
          <w:sz w:val="20"/>
          <w:szCs w:val="20"/>
        </w:rPr>
        <w:t xml:space="preserve"> </w:t>
      </w:r>
      <w:r>
        <w:rPr>
          <w:sz w:val="20"/>
          <w:szCs w:val="20"/>
        </w:rPr>
        <w:t>note 5</w:t>
      </w:r>
      <w:r w:rsidRPr="005F3A9B">
        <w:rPr>
          <w:sz w:val="20"/>
          <w:szCs w:val="20"/>
        </w:rPr>
        <w:t xml:space="preserve"> at 1655-1661.</w:t>
      </w:r>
    </w:p>
  </w:footnote>
  <w:footnote w:id="2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sz w:val="20"/>
          <w:szCs w:val="20"/>
        </w:rPr>
        <w:t xml:space="preserve"> (SCC)</w:t>
      </w:r>
      <w:r w:rsidRPr="005F3A9B">
        <w:rPr>
          <w:sz w:val="20"/>
          <w:szCs w:val="20"/>
        </w:rPr>
        <w:t xml:space="preserve">, </w:t>
      </w:r>
      <w:r w:rsidRPr="003907AE">
        <w:rPr>
          <w:i/>
          <w:sz w:val="20"/>
          <w:szCs w:val="20"/>
        </w:rPr>
        <w:t>supra</w:t>
      </w:r>
      <w:r w:rsidRPr="005F3A9B">
        <w:rPr>
          <w:sz w:val="20"/>
          <w:szCs w:val="20"/>
        </w:rPr>
        <w:t xml:space="preserve"> note </w:t>
      </w:r>
      <w:r>
        <w:rPr>
          <w:sz w:val="20"/>
          <w:szCs w:val="20"/>
        </w:rPr>
        <w:t>5</w:t>
      </w:r>
      <w:r w:rsidRPr="005F3A9B">
        <w:rPr>
          <w:sz w:val="20"/>
          <w:szCs w:val="20"/>
        </w:rPr>
        <w:t xml:space="preserve"> (</w:t>
      </w:r>
      <w:r w:rsidRPr="00344AA8">
        <w:rPr>
          <w:i/>
          <w:sz w:val="20"/>
          <w:szCs w:val="20"/>
        </w:rPr>
        <w:t>Appellant’s Record, Testimony of Louise Gosselin</w:t>
      </w:r>
      <w:r>
        <w:rPr>
          <w:sz w:val="20"/>
          <w:szCs w:val="20"/>
        </w:rPr>
        <w:t>, vol</w:t>
      </w:r>
      <w:r w:rsidRPr="005F3A9B">
        <w:rPr>
          <w:sz w:val="20"/>
          <w:szCs w:val="20"/>
        </w:rPr>
        <w:t xml:space="preserve"> 1).</w:t>
      </w:r>
    </w:p>
  </w:footnote>
  <w:footnote w:id="2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sidRPr="005F3A9B">
        <w:rPr>
          <w:sz w:val="20"/>
          <w:szCs w:val="20"/>
        </w:rPr>
        <w:t xml:space="preserve"> </w:t>
      </w:r>
      <w:r>
        <w:rPr>
          <w:sz w:val="20"/>
          <w:szCs w:val="20"/>
        </w:rPr>
        <w:t>(</w:t>
      </w:r>
      <w:r w:rsidRPr="005F3A9B">
        <w:rPr>
          <w:sz w:val="20"/>
          <w:szCs w:val="20"/>
        </w:rPr>
        <w:t>SC</w:t>
      </w:r>
      <w:r>
        <w:rPr>
          <w:sz w:val="20"/>
          <w:szCs w:val="20"/>
        </w:rPr>
        <w:t>)</w:t>
      </w:r>
      <w:r w:rsidRPr="005F3A9B">
        <w:rPr>
          <w:sz w:val="20"/>
          <w:szCs w:val="20"/>
        </w:rPr>
        <w:t xml:space="preserve">, </w:t>
      </w:r>
      <w:r w:rsidRPr="005F3A9B">
        <w:rPr>
          <w:i/>
          <w:sz w:val="20"/>
          <w:szCs w:val="20"/>
        </w:rPr>
        <w:t>supra</w:t>
      </w:r>
      <w:r>
        <w:rPr>
          <w:sz w:val="20"/>
          <w:szCs w:val="20"/>
        </w:rPr>
        <w:t xml:space="preserve"> note 5</w:t>
      </w:r>
      <w:r w:rsidRPr="005F3A9B">
        <w:rPr>
          <w:i/>
          <w:iCs/>
          <w:sz w:val="20"/>
          <w:szCs w:val="20"/>
        </w:rPr>
        <w:t xml:space="preserve"> </w:t>
      </w:r>
      <w:r w:rsidRPr="005F3A9B">
        <w:rPr>
          <w:sz w:val="20"/>
          <w:szCs w:val="20"/>
        </w:rPr>
        <w:t>at 1658-59.</w:t>
      </w:r>
    </w:p>
  </w:footnote>
  <w:footnote w:id="2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Pr>
          <w:sz w:val="20"/>
          <w:szCs w:val="20"/>
        </w:rPr>
        <w:t xml:space="preserve"> 1659 [author’s translation: “T</w:t>
      </w:r>
      <w:r w:rsidRPr="005F3A9B">
        <w:rPr>
          <w:sz w:val="20"/>
          <w:szCs w:val="20"/>
        </w:rPr>
        <w:t>heir precarious economic situation deprives them of any social life and affects their mental health.”].</w:t>
      </w:r>
    </w:p>
  </w:footnote>
  <w:footnote w:id="2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1659 [author’s translation: “</w:t>
      </w:r>
      <w:r>
        <w:rPr>
          <w:sz w:val="20"/>
          <w:szCs w:val="20"/>
        </w:rPr>
        <w:t>The dilemma facing these young people is whether to pay for meagre lodging</w:t>
      </w:r>
      <w:r w:rsidRPr="005F3A9B">
        <w:rPr>
          <w:sz w:val="20"/>
          <w:szCs w:val="20"/>
        </w:rPr>
        <w:t xml:space="preserve"> and beg for their food or to forego rent and find whatever shelter they can, in order to use the small amount they receive to feed themselves.”].</w:t>
      </w:r>
    </w:p>
  </w:footnote>
  <w:footnote w:id="2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1658.</w:t>
      </w:r>
    </w:p>
  </w:footnote>
  <w:footnote w:id="29">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1659 [author’s translation: “What employer would hire a person who couldn’t provide a telephone number to call when a position opened?  What employer would hire a youth with holes in their clothes?”].</w:t>
      </w:r>
    </w:p>
  </w:footnote>
  <w:footnote w:id="3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1658.</w:t>
      </w:r>
    </w:p>
  </w:footnote>
  <w:footnote w:id="3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sz w:val="20"/>
          <w:szCs w:val="20"/>
        </w:rPr>
        <w:t xml:space="preserve"> (SCC)</w:t>
      </w:r>
      <w:r w:rsidRPr="005F3A9B">
        <w:rPr>
          <w:sz w:val="20"/>
          <w:szCs w:val="20"/>
        </w:rPr>
        <w:t xml:space="preserve">, </w:t>
      </w:r>
      <w:r w:rsidRPr="002B4179">
        <w:rPr>
          <w:i/>
          <w:sz w:val="20"/>
          <w:szCs w:val="20"/>
        </w:rPr>
        <w:t>supra</w:t>
      </w:r>
      <w:r w:rsidRPr="005F3A9B">
        <w:rPr>
          <w:sz w:val="20"/>
          <w:szCs w:val="20"/>
        </w:rPr>
        <w:t xml:space="preserve"> note </w:t>
      </w:r>
      <w:r>
        <w:rPr>
          <w:sz w:val="20"/>
          <w:szCs w:val="20"/>
        </w:rPr>
        <w:t>5</w:t>
      </w:r>
      <w:r w:rsidRPr="005F3A9B">
        <w:rPr>
          <w:sz w:val="20"/>
          <w:szCs w:val="20"/>
        </w:rPr>
        <w:t xml:space="preserve"> (</w:t>
      </w:r>
      <w:r w:rsidRPr="00344AA8">
        <w:rPr>
          <w:i/>
          <w:sz w:val="20"/>
          <w:szCs w:val="20"/>
        </w:rPr>
        <w:t>Appellant’s Record, Testimony of Louise Gosselin</w:t>
      </w:r>
      <w:r>
        <w:rPr>
          <w:sz w:val="20"/>
          <w:szCs w:val="20"/>
        </w:rPr>
        <w:t>, vol</w:t>
      </w:r>
      <w:r w:rsidRPr="005F3A9B">
        <w:rPr>
          <w:sz w:val="20"/>
          <w:szCs w:val="20"/>
        </w:rPr>
        <w:t xml:space="preserve"> 1 </w:t>
      </w:r>
      <w:r>
        <w:rPr>
          <w:sz w:val="20"/>
          <w:szCs w:val="20"/>
        </w:rPr>
        <w:t>at 134) [author’s translation: “W</w:t>
      </w:r>
      <w:r w:rsidRPr="005F3A9B">
        <w:rPr>
          <w:sz w:val="20"/>
          <w:szCs w:val="20"/>
        </w:rPr>
        <w:t>hen someone gave me food</w:t>
      </w:r>
      <w:r>
        <w:rPr>
          <w:sz w:val="20"/>
          <w:szCs w:val="20"/>
        </w:rPr>
        <w:t>,</w:t>
      </w:r>
      <w:r w:rsidRPr="005F3A9B">
        <w:rPr>
          <w:sz w:val="20"/>
          <w:szCs w:val="20"/>
        </w:rPr>
        <w:t xml:space="preserve"> I went.”].</w:t>
      </w:r>
    </w:p>
  </w:footnote>
  <w:footnote w:id="32">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Ibid</w:t>
      </w:r>
      <w:r w:rsidRPr="005F3A9B">
        <w:rPr>
          <w:sz w:val="20"/>
          <w:szCs w:val="20"/>
        </w:rPr>
        <w:t xml:space="preserve"> (</w:t>
      </w:r>
      <w:r w:rsidRPr="00344AA8">
        <w:rPr>
          <w:i/>
          <w:sz w:val="20"/>
          <w:szCs w:val="20"/>
        </w:rPr>
        <w:t>Appellant’s Record, Testimony of Louise Gosselin</w:t>
      </w:r>
      <w:r w:rsidRPr="005F3A9B">
        <w:rPr>
          <w:sz w:val="20"/>
          <w:szCs w:val="20"/>
        </w:rPr>
        <w:t>, vol. 1 at 106</w:t>
      </w:r>
      <w:r>
        <w:rPr>
          <w:sz w:val="20"/>
          <w:szCs w:val="20"/>
        </w:rPr>
        <w:t>) [author’s translation: “I</w:t>
      </w:r>
      <w:r w:rsidRPr="005F3A9B">
        <w:rPr>
          <w:sz w:val="20"/>
          <w:szCs w:val="20"/>
        </w:rPr>
        <w:t xml:space="preserve">t was badly lit, there were bugs everywhere, it wasn’t heated.  I rented it from the landlord heated but we froze like rats, my feet were blue all winter, my ankles hurt so much that I had trouble walking and I was cold.”]. </w:t>
      </w:r>
    </w:p>
  </w:footnote>
  <w:footnote w:id="3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sidRPr="005F3A9B">
        <w:rPr>
          <w:sz w:val="20"/>
          <w:szCs w:val="20"/>
        </w:rPr>
        <w:t xml:space="preserve"> </w:t>
      </w:r>
      <w:r>
        <w:rPr>
          <w:sz w:val="20"/>
          <w:szCs w:val="20"/>
        </w:rPr>
        <w:t>(</w:t>
      </w:r>
      <w:r w:rsidRPr="005F3A9B">
        <w:rPr>
          <w:sz w:val="20"/>
          <w:szCs w:val="20"/>
        </w:rPr>
        <w:t>SC</w:t>
      </w:r>
      <w:r>
        <w:rPr>
          <w:sz w:val="20"/>
          <w:szCs w:val="20"/>
        </w:rPr>
        <w:t>)</w:t>
      </w:r>
      <w:r w:rsidRPr="005F3A9B">
        <w:rPr>
          <w:sz w:val="20"/>
          <w:szCs w:val="20"/>
        </w:rPr>
        <w:t xml:space="preserve">, </w:t>
      </w:r>
      <w:r w:rsidRPr="005F3A9B">
        <w:rPr>
          <w:i/>
          <w:iCs/>
          <w:sz w:val="20"/>
          <w:szCs w:val="20"/>
        </w:rPr>
        <w:t>supra</w:t>
      </w:r>
      <w:r>
        <w:rPr>
          <w:sz w:val="20"/>
          <w:szCs w:val="20"/>
        </w:rPr>
        <w:t xml:space="preserve"> note 5</w:t>
      </w:r>
      <w:r w:rsidRPr="005F3A9B">
        <w:rPr>
          <w:sz w:val="20"/>
          <w:szCs w:val="20"/>
        </w:rPr>
        <w:t xml:space="preserve"> at 1655.</w:t>
      </w:r>
    </w:p>
  </w:footnote>
  <w:footnote w:id="3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
          <w:iCs/>
          <w:sz w:val="20"/>
          <w:szCs w:val="20"/>
        </w:rPr>
        <w:t xml:space="preserve"> </w:t>
      </w:r>
      <w:r w:rsidRPr="00B10024">
        <w:rPr>
          <w:iCs/>
          <w:sz w:val="20"/>
          <w:szCs w:val="20"/>
        </w:rPr>
        <w:t>(SCC)</w:t>
      </w:r>
      <w:r w:rsidRPr="005F3A9B">
        <w:rPr>
          <w:iCs/>
          <w:sz w:val="20"/>
          <w:szCs w:val="20"/>
        </w:rPr>
        <w:t xml:space="preserve">, </w:t>
      </w:r>
      <w:r w:rsidRPr="002B4179">
        <w:rPr>
          <w:i/>
          <w:iCs/>
          <w:sz w:val="20"/>
          <w:szCs w:val="20"/>
        </w:rPr>
        <w:t>supra</w:t>
      </w:r>
      <w:r w:rsidRPr="005F3A9B">
        <w:rPr>
          <w:iCs/>
          <w:sz w:val="20"/>
          <w:szCs w:val="20"/>
        </w:rPr>
        <w:t xml:space="preserve"> note </w:t>
      </w:r>
      <w:r>
        <w:rPr>
          <w:iCs/>
          <w:sz w:val="20"/>
          <w:szCs w:val="20"/>
        </w:rPr>
        <w:t>5</w:t>
      </w:r>
      <w:r w:rsidRPr="005F3A9B">
        <w:rPr>
          <w:sz w:val="20"/>
          <w:szCs w:val="20"/>
        </w:rPr>
        <w:t xml:space="preserve"> (</w:t>
      </w:r>
      <w:r w:rsidRPr="00344AA8">
        <w:rPr>
          <w:i/>
          <w:sz w:val="20"/>
          <w:szCs w:val="20"/>
        </w:rPr>
        <w:t>Appellant’s Record, Testimony of Louise Gosselin</w:t>
      </w:r>
      <w:r>
        <w:rPr>
          <w:sz w:val="20"/>
          <w:szCs w:val="20"/>
        </w:rPr>
        <w:t>, vol</w:t>
      </w:r>
      <w:r w:rsidRPr="005F3A9B">
        <w:rPr>
          <w:sz w:val="20"/>
          <w:szCs w:val="20"/>
        </w:rPr>
        <w:t xml:space="preserve"> 1 at 111</w:t>
      </w:r>
      <w:r>
        <w:rPr>
          <w:sz w:val="20"/>
          <w:szCs w:val="20"/>
        </w:rPr>
        <w:t>)</w:t>
      </w:r>
      <w:r w:rsidRPr="005F3A9B">
        <w:rPr>
          <w:sz w:val="20"/>
          <w:szCs w:val="20"/>
        </w:rPr>
        <w:t xml:space="preserve"> [author’s translation: “Friends, having a social live, having things, working, it’s not complicated, all I thought about was having a job.”].</w:t>
      </w:r>
    </w:p>
  </w:footnote>
  <w:footnote w:id="35">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Ibid</w:t>
      </w:r>
      <w:r w:rsidRPr="005F3A9B">
        <w:rPr>
          <w:sz w:val="20"/>
          <w:szCs w:val="20"/>
        </w:rPr>
        <w:t xml:space="preserve"> (</w:t>
      </w:r>
      <w:r w:rsidRPr="00344AA8">
        <w:rPr>
          <w:i/>
          <w:sz w:val="20"/>
          <w:szCs w:val="20"/>
        </w:rPr>
        <w:t>Appellant’s Record, Testimony of Louise Gosselin</w:t>
      </w:r>
      <w:r>
        <w:rPr>
          <w:sz w:val="20"/>
          <w:szCs w:val="20"/>
        </w:rPr>
        <w:t>, vol</w:t>
      </w:r>
      <w:r w:rsidRPr="005F3A9B">
        <w:rPr>
          <w:sz w:val="20"/>
          <w:szCs w:val="20"/>
        </w:rPr>
        <w:t xml:space="preserve"> 1 at 110</w:t>
      </w:r>
      <w:r>
        <w:rPr>
          <w:sz w:val="20"/>
          <w:szCs w:val="20"/>
        </w:rPr>
        <w:t>)</w:t>
      </w:r>
      <w:r w:rsidRPr="005F3A9B">
        <w:rPr>
          <w:sz w:val="20"/>
          <w:szCs w:val="20"/>
        </w:rPr>
        <w:t xml:space="preserve"> [author’s translation: “Well, there was never anyone who called me back.  I was unable to present myself properly to an employer and to sell myself as a good worker, I was completely lacking in terms of self-esteem and in terms of self-confidence, my meals weren’t balanced, my social life wasn’t either, I had absolutely nothing to keep myself together, to work, so often the places were filled.”].</w:t>
      </w:r>
    </w:p>
  </w:footnote>
  <w:footnote w:id="36">
    <w:p w:rsidR="00B356AA" w:rsidRPr="005F3A9B" w:rsidRDefault="00B356AA" w:rsidP="00F45097">
      <w:pPr>
        <w:spacing w:after="0"/>
        <w:rPr>
          <w:sz w:val="20"/>
          <w:szCs w:val="20"/>
        </w:rPr>
      </w:pPr>
      <w:r w:rsidRPr="005F3A9B">
        <w:rPr>
          <w:rStyle w:val="Appelnotedebasdep"/>
          <w:sz w:val="20"/>
          <w:szCs w:val="20"/>
          <w:vertAlign w:val="superscript"/>
        </w:rPr>
        <w:footnoteRef/>
      </w:r>
      <w:r w:rsidRPr="005F3A9B">
        <w:rPr>
          <w:i/>
          <w:iCs/>
          <w:sz w:val="20"/>
          <w:szCs w:val="20"/>
        </w:rPr>
        <w:t xml:space="preserve"> Gosselin</w:t>
      </w:r>
      <w:r>
        <w:rPr>
          <w:iCs/>
          <w:sz w:val="20"/>
          <w:szCs w:val="20"/>
        </w:rPr>
        <w:t xml:space="preserve"> (SCC)</w:t>
      </w:r>
      <w:r w:rsidRPr="005F3A9B">
        <w:rPr>
          <w:iCs/>
          <w:sz w:val="20"/>
          <w:szCs w:val="20"/>
        </w:rPr>
        <w:t xml:space="preserve">, </w:t>
      </w:r>
      <w:r w:rsidRPr="00C779BC">
        <w:rPr>
          <w:i/>
          <w:iCs/>
          <w:sz w:val="20"/>
          <w:szCs w:val="20"/>
        </w:rPr>
        <w:t>supra</w:t>
      </w:r>
      <w:r w:rsidRPr="005F3A9B">
        <w:rPr>
          <w:iCs/>
          <w:sz w:val="20"/>
          <w:szCs w:val="20"/>
        </w:rPr>
        <w:t xml:space="preserve"> note </w:t>
      </w:r>
      <w:r>
        <w:rPr>
          <w:iCs/>
          <w:sz w:val="20"/>
          <w:szCs w:val="20"/>
        </w:rPr>
        <w:t>5</w:t>
      </w:r>
      <w:r w:rsidRPr="005F3A9B">
        <w:rPr>
          <w:iCs/>
          <w:sz w:val="20"/>
          <w:szCs w:val="20"/>
        </w:rPr>
        <w:t xml:space="preserve"> (</w:t>
      </w:r>
      <w:r w:rsidRPr="005F3A9B">
        <w:rPr>
          <w:i/>
          <w:iCs/>
          <w:sz w:val="20"/>
          <w:szCs w:val="20"/>
        </w:rPr>
        <w:t>Factum of the Appellant</w:t>
      </w:r>
      <w:r w:rsidRPr="005F3A9B">
        <w:rPr>
          <w:iCs/>
          <w:sz w:val="20"/>
          <w:szCs w:val="20"/>
        </w:rPr>
        <w:t xml:space="preserve"> at </w:t>
      </w:r>
      <w:r>
        <w:rPr>
          <w:iCs/>
          <w:sz w:val="20"/>
          <w:szCs w:val="20"/>
        </w:rPr>
        <w:t xml:space="preserve">para </w:t>
      </w:r>
      <w:r w:rsidRPr="005F3A9B">
        <w:rPr>
          <w:iCs/>
          <w:sz w:val="20"/>
          <w:szCs w:val="20"/>
        </w:rPr>
        <w:t xml:space="preserve">50) [author’s translation: </w:t>
      </w:r>
      <w:r w:rsidRPr="005F3A9B">
        <w:rPr>
          <w:sz w:val="20"/>
          <w:szCs w:val="20"/>
        </w:rPr>
        <w:t>“The social assistance system is the final recourse for persons in need.  To be eligible for welfare benefits, a person must be totally without means.  It is not by choice that such persons turn to the State, but from absolute necessity</w:t>
      </w:r>
      <w:r w:rsidRPr="005F3A9B">
        <w:rPr>
          <w:iCs/>
          <w:sz w:val="20"/>
          <w:szCs w:val="20"/>
        </w:rPr>
        <w:t>.”</w:t>
      </w:r>
      <w:r w:rsidRPr="005F3A9B">
        <w:rPr>
          <w:sz w:val="20"/>
          <w:szCs w:val="20"/>
        </w:rPr>
        <w:t>].</w:t>
      </w:r>
    </w:p>
  </w:footnote>
  <w:footnote w:id="37">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w:t>
      </w:r>
      <w:r w:rsidRPr="005F3A9B">
        <w:rPr>
          <w:iCs/>
          <w:sz w:val="20"/>
          <w:szCs w:val="20"/>
        </w:rPr>
        <w:t>, (</w:t>
      </w:r>
      <w:r w:rsidRPr="005F3A9B">
        <w:rPr>
          <w:i/>
          <w:iCs/>
          <w:sz w:val="20"/>
          <w:szCs w:val="20"/>
        </w:rPr>
        <w:t>Factum of the Appellant</w:t>
      </w:r>
      <w:r w:rsidRPr="005F3A9B">
        <w:rPr>
          <w:iCs/>
          <w:sz w:val="20"/>
          <w:szCs w:val="20"/>
        </w:rPr>
        <w:t xml:space="preserve"> at paras 53-54)</w:t>
      </w:r>
      <w:r w:rsidRPr="005F3A9B">
        <w:rPr>
          <w:sz w:val="20"/>
          <w:szCs w:val="20"/>
        </w:rPr>
        <w:t>.</w:t>
      </w:r>
    </w:p>
  </w:footnote>
  <w:footnote w:id="38">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w:t>
      </w:r>
      <w:r>
        <w:rPr>
          <w:iCs/>
          <w:sz w:val="20"/>
          <w:szCs w:val="20"/>
        </w:rPr>
        <w:t xml:space="preserve"> </w:t>
      </w:r>
      <w:r w:rsidRPr="005F3A9B">
        <w:rPr>
          <w:iCs/>
          <w:sz w:val="20"/>
          <w:szCs w:val="20"/>
        </w:rPr>
        <w:t>at paras 98-99</w:t>
      </w:r>
      <w:r w:rsidRPr="005F3A9B">
        <w:rPr>
          <w:sz w:val="20"/>
          <w:szCs w:val="20"/>
        </w:rPr>
        <w:t>.</w:t>
      </w:r>
    </w:p>
  </w:footnote>
  <w:footnote w:id="39">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 </w:t>
      </w:r>
      <w:r w:rsidRPr="005F3A9B">
        <w:rPr>
          <w:iCs/>
          <w:sz w:val="20"/>
          <w:szCs w:val="20"/>
        </w:rPr>
        <w:t>at paras 100-121</w:t>
      </w:r>
      <w:r w:rsidRPr="005F3A9B">
        <w:rPr>
          <w:sz w:val="20"/>
          <w:szCs w:val="20"/>
        </w:rPr>
        <w:t>.</w:t>
      </w:r>
    </w:p>
  </w:footnote>
  <w:footnote w:id="40">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w:t>
      </w:r>
      <w:r w:rsidRPr="005F3A9B">
        <w:rPr>
          <w:iCs/>
          <w:sz w:val="20"/>
          <w:szCs w:val="20"/>
        </w:rPr>
        <w:t xml:space="preserve"> at paras 122-144</w:t>
      </w:r>
      <w:r w:rsidRPr="005F3A9B">
        <w:rPr>
          <w:sz w:val="20"/>
          <w:szCs w:val="20"/>
        </w:rPr>
        <w:t>.</w:t>
      </w:r>
    </w:p>
  </w:footnote>
  <w:footnote w:id="41">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w:t>
      </w:r>
      <w:r w:rsidRPr="005F3A9B">
        <w:rPr>
          <w:iCs/>
          <w:sz w:val="20"/>
          <w:szCs w:val="20"/>
        </w:rPr>
        <w:t xml:space="preserve"> at paras 145-159</w:t>
      </w:r>
      <w:r w:rsidRPr="005F3A9B">
        <w:rPr>
          <w:sz w:val="20"/>
          <w:szCs w:val="20"/>
        </w:rPr>
        <w:t>.</w:t>
      </w:r>
    </w:p>
  </w:footnote>
  <w:footnote w:id="42">
    <w:p w:rsidR="00B356AA" w:rsidRPr="005F3A9B" w:rsidRDefault="00B356AA" w:rsidP="00F45097">
      <w:pPr>
        <w:spacing w:after="0"/>
        <w:rPr>
          <w:sz w:val="20"/>
          <w:szCs w:val="20"/>
        </w:rPr>
      </w:pPr>
      <w:r w:rsidRPr="005F3A9B">
        <w:rPr>
          <w:rStyle w:val="Appelnotedebasdep"/>
          <w:sz w:val="20"/>
          <w:szCs w:val="20"/>
          <w:vertAlign w:val="superscript"/>
        </w:rPr>
        <w:footnoteRef/>
      </w:r>
      <w:r>
        <w:rPr>
          <w:i/>
          <w:iCs/>
          <w:sz w:val="20"/>
          <w:szCs w:val="20"/>
        </w:rPr>
        <w:t xml:space="preserve"> Ibid</w:t>
      </w:r>
      <w:r>
        <w:rPr>
          <w:iCs/>
          <w:sz w:val="20"/>
          <w:szCs w:val="20"/>
        </w:rPr>
        <w:t xml:space="preserve"> at para 221</w:t>
      </w:r>
      <w:r>
        <w:rPr>
          <w:sz w:val="20"/>
          <w:szCs w:val="20"/>
        </w:rPr>
        <w:t xml:space="preserve">; </w:t>
      </w:r>
      <w:r w:rsidRPr="001146A3">
        <w:rPr>
          <w:i/>
          <w:sz w:val="20"/>
          <w:szCs w:val="20"/>
        </w:rPr>
        <w:t>Gosselin</w:t>
      </w:r>
      <w:r>
        <w:rPr>
          <w:sz w:val="20"/>
          <w:szCs w:val="20"/>
        </w:rPr>
        <w:t xml:space="preserve"> (SCC), </w:t>
      </w:r>
      <w:r w:rsidRPr="001146A3">
        <w:rPr>
          <w:i/>
          <w:sz w:val="20"/>
          <w:szCs w:val="20"/>
        </w:rPr>
        <w:t>supra</w:t>
      </w:r>
      <w:r>
        <w:rPr>
          <w:sz w:val="20"/>
          <w:szCs w:val="20"/>
        </w:rPr>
        <w:t xml:space="preserve"> note 5 at para 9.</w:t>
      </w:r>
    </w:p>
  </w:footnote>
  <w:footnote w:id="43">
    <w:p w:rsidR="00B356AA" w:rsidRPr="005F3A9B" w:rsidRDefault="00B356AA" w:rsidP="002B4179">
      <w:pPr>
        <w:spacing w:after="0"/>
        <w:rPr>
          <w:sz w:val="20"/>
          <w:szCs w:val="20"/>
        </w:rPr>
      </w:pPr>
      <w:r w:rsidRPr="005F3A9B">
        <w:rPr>
          <w:rStyle w:val="Appelnotedebasdep"/>
          <w:sz w:val="20"/>
          <w:szCs w:val="20"/>
          <w:vertAlign w:val="superscript"/>
        </w:rPr>
        <w:footnoteRef/>
      </w:r>
      <w:r w:rsidRPr="005F3A9B">
        <w:rPr>
          <w:i/>
          <w:iCs/>
          <w:sz w:val="20"/>
          <w:szCs w:val="20"/>
        </w:rPr>
        <w:t>Gosselin</w:t>
      </w:r>
      <w:r w:rsidRPr="005F3A9B">
        <w:rPr>
          <w:sz w:val="20"/>
          <w:szCs w:val="20"/>
        </w:rPr>
        <w:t xml:space="preserve"> </w:t>
      </w:r>
      <w:r>
        <w:rPr>
          <w:sz w:val="20"/>
          <w:szCs w:val="20"/>
        </w:rPr>
        <w:t>(</w:t>
      </w:r>
      <w:r w:rsidRPr="005F3A9B">
        <w:rPr>
          <w:sz w:val="20"/>
          <w:szCs w:val="20"/>
        </w:rPr>
        <w:t>SC</w:t>
      </w:r>
      <w:r>
        <w:rPr>
          <w:sz w:val="20"/>
          <w:szCs w:val="20"/>
        </w:rPr>
        <w:t>)</w:t>
      </w:r>
      <w:r w:rsidRPr="005F3A9B">
        <w:rPr>
          <w:sz w:val="20"/>
          <w:szCs w:val="20"/>
        </w:rPr>
        <w:t xml:space="preserve">, </w:t>
      </w:r>
      <w:r w:rsidRPr="005F3A9B">
        <w:rPr>
          <w:i/>
          <w:iCs/>
          <w:sz w:val="20"/>
          <w:szCs w:val="20"/>
        </w:rPr>
        <w:t>supra</w:t>
      </w:r>
      <w:r>
        <w:rPr>
          <w:sz w:val="20"/>
          <w:szCs w:val="20"/>
        </w:rPr>
        <w:t xml:space="preserve"> note 5 at 1664</w:t>
      </w:r>
      <w:r w:rsidRPr="005F3A9B">
        <w:rPr>
          <w:sz w:val="20"/>
          <w:szCs w:val="20"/>
        </w:rPr>
        <w:t>.</w:t>
      </w:r>
    </w:p>
  </w:footnote>
  <w:footnote w:id="4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Ibid</w:t>
      </w:r>
      <w:r w:rsidRPr="005F3A9B">
        <w:rPr>
          <w:sz w:val="20"/>
          <w:szCs w:val="20"/>
        </w:rPr>
        <w:t>.</w:t>
      </w:r>
    </w:p>
  </w:footnote>
  <w:footnote w:id="4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sz w:val="20"/>
          <w:szCs w:val="20"/>
        </w:rPr>
        <w:t>Ibid</w:t>
      </w:r>
      <w:r w:rsidRPr="005F3A9B">
        <w:rPr>
          <w:sz w:val="20"/>
          <w:szCs w:val="20"/>
        </w:rPr>
        <w:t>.</w:t>
      </w:r>
    </w:p>
  </w:footnote>
  <w:footnote w:id="4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1669.</w:t>
      </w:r>
    </w:p>
  </w:footnote>
  <w:footnote w:id="4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1681.</w:t>
      </w:r>
      <w:r>
        <w:rPr>
          <w:sz w:val="20"/>
          <w:szCs w:val="20"/>
        </w:rPr>
        <w:t xml:space="preserve">  Justice Reeves dismissed Louise Gosselin’s claim under the Québec </w:t>
      </w:r>
      <w:r w:rsidRPr="00484E26">
        <w:rPr>
          <w:i/>
          <w:sz w:val="20"/>
          <w:szCs w:val="20"/>
        </w:rPr>
        <w:t>Charter</w:t>
      </w:r>
      <w:r>
        <w:rPr>
          <w:sz w:val="20"/>
          <w:szCs w:val="20"/>
        </w:rPr>
        <w:t xml:space="preserve"> on the grounds that section 45 is a statement of policy that provides no authority for the courts to review the adequacy of social measures the legislature chooses to adopt; </w:t>
      </w:r>
      <w:r w:rsidRPr="00484E26">
        <w:rPr>
          <w:i/>
          <w:sz w:val="20"/>
          <w:szCs w:val="20"/>
        </w:rPr>
        <w:t>ibid</w:t>
      </w:r>
      <w:r>
        <w:rPr>
          <w:sz w:val="20"/>
          <w:szCs w:val="20"/>
        </w:rPr>
        <w:t xml:space="preserve"> at 1667.</w:t>
      </w:r>
    </w:p>
  </w:footnote>
  <w:footnote w:id="4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Gosselin </w:t>
      </w:r>
      <w:r w:rsidRPr="002D0D14">
        <w:rPr>
          <w:iCs/>
          <w:sz w:val="20"/>
          <w:szCs w:val="20"/>
        </w:rPr>
        <w:t>(CA)</w:t>
      </w:r>
      <w:r w:rsidRPr="005F3A9B">
        <w:rPr>
          <w:sz w:val="20"/>
          <w:szCs w:val="20"/>
        </w:rPr>
        <w:t xml:space="preserve">, </w:t>
      </w:r>
      <w:r w:rsidRPr="005F3A9B">
        <w:rPr>
          <w:i/>
          <w:iCs/>
          <w:sz w:val="20"/>
          <w:szCs w:val="20"/>
        </w:rPr>
        <w:t>supra</w:t>
      </w:r>
      <w:r w:rsidRPr="005F3A9B">
        <w:rPr>
          <w:sz w:val="20"/>
          <w:szCs w:val="20"/>
        </w:rPr>
        <w:t xml:space="preserve"> </w:t>
      </w:r>
      <w:r>
        <w:rPr>
          <w:sz w:val="20"/>
          <w:szCs w:val="20"/>
        </w:rPr>
        <w:t>note 5</w:t>
      </w:r>
      <w:r w:rsidRPr="005F3A9B">
        <w:rPr>
          <w:sz w:val="20"/>
          <w:szCs w:val="20"/>
        </w:rPr>
        <w:t xml:space="preserve"> at 1042-43.</w:t>
      </w:r>
    </w:p>
  </w:footnote>
  <w:footnote w:id="49">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B4179">
        <w:rPr>
          <w:iCs/>
          <w:sz w:val="20"/>
          <w:szCs w:val="20"/>
        </w:rPr>
        <w:t>at</w:t>
      </w:r>
      <w:r w:rsidRPr="005F3A9B">
        <w:rPr>
          <w:sz w:val="20"/>
          <w:szCs w:val="20"/>
        </w:rPr>
        <w:t xml:space="preserve"> 1042.</w:t>
      </w:r>
    </w:p>
  </w:footnote>
  <w:footnote w:id="5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DC37CF">
        <w:rPr>
          <w:iCs/>
          <w:sz w:val="20"/>
          <w:szCs w:val="20"/>
        </w:rPr>
        <w:t>at</w:t>
      </w:r>
      <w:r w:rsidRPr="005F3A9B">
        <w:rPr>
          <w:sz w:val="20"/>
          <w:szCs w:val="20"/>
        </w:rPr>
        <w:t xml:space="preserve"> 1047.</w:t>
      </w:r>
    </w:p>
  </w:footnote>
  <w:footnote w:id="51">
    <w:p w:rsidR="00B356AA" w:rsidRPr="005F3A9B" w:rsidRDefault="00B356AA" w:rsidP="002D0D14">
      <w:pPr>
        <w:spacing w:after="0"/>
        <w:rPr>
          <w:sz w:val="20"/>
          <w:szCs w:val="20"/>
        </w:rPr>
      </w:pPr>
      <w:r w:rsidRPr="005F3A9B">
        <w:rPr>
          <w:rStyle w:val="Appelnotedebasdep"/>
          <w:sz w:val="20"/>
          <w:szCs w:val="20"/>
          <w:vertAlign w:val="superscript"/>
        </w:rPr>
        <w:footnoteRef/>
      </w:r>
      <w:r>
        <w:rPr>
          <w:i/>
          <w:iCs/>
          <w:sz w:val="20"/>
          <w:szCs w:val="20"/>
        </w:rPr>
        <w:t xml:space="preserve">Ibid </w:t>
      </w:r>
      <w:r w:rsidRPr="00DC37CF">
        <w:rPr>
          <w:iCs/>
          <w:sz w:val="20"/>
          <w:szCs w:val="20"/>
        </w:rPr>
        <w:t>at</w:t>
      </w:r>
      <w:r>
        <w:rPr>
          <w:sz w:val="20"/>
          <w:szCs w:val="20"/>
        </w:rPr>
        <w:t xml:space="preserve"> 1061.</w:t>
      </w:r>
    </w:p>
  </w:footnote>
  <w:footnote w:id="52">
    <w:p w:rsidR="00B356AA" w:rsidRPr="005D5A1C" w:rsidRDefault="00B356AA" w:rsidP="005F3A9B">
      <w:pPr>
        <w:spacing w:after="0"/>
        <w:rPr>
          <w:sz w:val="20"/>
          <w:szCs w:val="20"/>
          <w:lang w:val="fr-CA"/>
        </w:rPr>
      </w:pPr>
      <w:r w:rsidRPr="005F3A9B">
        <w:rPr>
          <w:rStyle w:val="Appelnotedebasdep"/>
          <w:sz w:val="20"/>
          <w:szCs w:val="20"/>
          <w:vertAlign w:val="superscript"/>
        </w:rPr>
        <w:footnoteRef/>
      </w:r>
      <w:r>
        <w:rPr>
          <w:i/>
          <w:iCs/>
          <w:sz w:val="20"/>
          <w:szCs w:val="20"/>
        </w:rPr>
        <w:t xml:space="preserve">Ibid </w:t>
      </w:r>
      <w:r w:rsidRPr="00DC37CF">
        <w:rPr>
          <w:iCs/>
          <w:sz w:val="20"/>
          <w:szCs w:val="20"/>
        </w:rPr>
        <w:t>at</w:t>
      </w:r>
      <w:r w:rsidRPr="005F3A9B">
        <w:rPr>
          <w:sz w:val="20"/>
          <w:szCs w:val="20"/>
        </w:rPr>
        <w:t xml:space="preserve"> 1089.</w:t>
      </w:r>
      <w:r>
        <w:rPr>
          <w:sz w:val="20"/>
          <w:szCs w:val="20"/>
        </w:rPr>
        <w:t xml:space="preserve">  </w:t>
      </w:r>
      <w:r w:rsidRPr="0017788D">
        <w:rPr>
          <w:sz w:val="20"/>
          <w:szCs w:val="20"/>
        </w:rPr>
        <w:t xml:space="preserve">Justice Robert further determined the </w:t>
      </w:r>
      <w:r w:rsidRPr="0017788D">
        <w:rPr>
          <w:i/>
          <w:sz w:val="20"/>
          <w:szCs w:val="20"/>
        </w:rPr>
        <w:t>Regulation</w:t>
      </w:r>
      <w:r w:rsidRPr="0017788D">
        <w:rPr>
          <w:sz w:val="20"/>
          <w:szCs w:val="20"/>
        </w:rPr>
        <w:t xml:space="preserve"> violated section 45 of the </w:t>
      </w:r>
      <w:r>
        <w:rPr>
          <w:sz w:val="20"/>
          <w:szCs w:val="20"/>
        </w:rPr>
        <w:t>Québec</w:t>
      </w:r>
      <w:r w:rsidRPr="0017788D">
        <w:rPr>
          <w:sz w:val="20"/>
          <w:szCs w:val="20"/>
        </w:rPr>
        <w:t xml:space="preserve"> </w:t>
      </w:r>
      <w:r w:rsidRPr="0017788D">
        <w:rPr>
          <w:i/>
          <w:sz w:val="20"/>
          <w:szCs w:val="20"/>
        </w:rPr>
        <w:t>Charter</w:t>
      </w:r>
      <w:r>
        <w:rPr>
          <w:sz w:val="20"/>
          <w:szCs w:val="20"/>
        </w:rPr>
        <w:t>.  H</w:t>
      </w:r>
      <w:r w:rsidRPr="0017788D">
        <w:rPr>
          <w:sz w:val="20"/>
          <w:szCs w:val="20"/>
        </w:rPr>
        <w:t>owever he found that</w:t>
      </w:r>
      <w:r>
        <w:rPr>
          <w:sz w:val="20"/>
          <w:szCs w:val="20"/>
        </w:rPr>
        <w:t xml:space="preserve">, in accordance with the remedial and anti-derogation provisions set out under sections 49 and 52 the </w:t>
      </w:r>
      <w:r w:rsidRPr="0043059D">
        <w:rPr>
          <w:i/>
          <w:sz w:val="20"/>
          <w:szCs w:val="20"/>
        </w:rPr>
        <w:t>Charter</w:t>
      </w:r>
      <w:r>
        <w:rPr>
          <w:sz w:val="20"/>
          <w:szCs w:val="20"/>
        </w:rPr>
        <w:t>,</w:t>
      </w:r>
      <w:r w:rsidRPr="0017788D">
        <w:rPr>
          <w:sz w:val="20"/>
          <w:szCs w:val="20"/>
        </w:rPr>
        <w:t xml:space="preserve"> </w:t>
      </w:r>
      <w:r>
        <w:rPr>
          <w:sz w:val="20"/>
          <w:szCs w:val="20"/>
        </w:rPr>
        <w:t xml:space="preserve">section 45’s </w:t>
      </w:r>
      <w:r w:rsidRPr="0017788D">
        <w:rPr>
          <w:sz w:val="20"/>
          <w:szCs w:val="20"/>
        </w:rPr>
        <w:t>guarantee of financial assistance “susceptible of ensuring … an acceptable standard of living” was</w:t>
      </w:r>
      <w:r>
        <w:rPr>
          <w:sz w:val="20"/>
          <w:szCs w:val="20"/>
        </w:rPr>
        <w:t xml:space="preserve"> not judicially </w:t>
      </w:r>
      <w:r w:rsidRPr="0017788D">
        <w:rPr>
          <w:sz w:val="20"/>
          <w:szCs w:val="20"/>
        </w:rPr>
        <w:t>enforceable</w:t>
      </w:r>
      <w:r>
        <w:rPr>
          <w:sz w:val="20"/>
          <w:szCs w:val="20"/>
        </w:rPr>
        <w:t xml:space="preserve">; ibid at 1119.  </w:t>
      </w:r>
      <w:r w:rsidRPr="005D5A1C">
        <w:rPr>
          <w:sz w:val="20"/>
          <w:szCs w:val="20"/>
          <w:lang w:val="fr-CA"/>
        </w:rPr>
        <w:t xml:space="preserve">See generally, Robitaille, </w:t>
      </w:r>
      <w:r w:rsidRPr="005D5A1C">
        <w:rPr>
          <w:i/>
          <w:sz w:val="20"/>
          <w:szCs w:val="20"/>
          <w:lang w:val="fr-CA"/>
        </w:rPr>
        <w:t>Droits économiques et sociaux</w:t>
      </w:r>
      <w:r w:rsidRPr="005D5A1C">
        <w:rPr>
          <w:sz w:val="20"/>
          <w:szCs w:val="20"/>
          <w:lang w:val="fr-CA"/>
        </w:rPr>
        <w:t xml:space="preserve">, </w:t>
      </w:r>
      <w:r w:rsidRPr="005D5A1C">
        <w:rPr>
          <w:i/>
          <w:sz w:val="20"/>
          <w:szCs w:val="20"/>
          <w:lang w:val="fr-CA"/>
        </w:rPr>
        <w:t>supra</w:t>
      </w:r>
      <w:r w:rsidRPr="005D5A1C">
        <w:rPr>
          <w:sz w:val="20"/>
          <w:szCs w:val="20"/>
          <w:lang w:val="fr-CA"/>
        </w:rPr>
        <w:t xml:space="preserve"> note </w:t>
      </w:r>
      <w:r>
        <w:rPr>
          <w:sz w:val="20"/>
          <w:szCs w:val="20"/>
          <w:lang w:val="fr-CA"/>
        </w:rPr>
        <w:t>21</w:t>
      </w:r>
      <w:r w:rsidRPr="005D5A1C">
        <w:rPr>
          <w:sz w:val="20"/>
          <w:szCs w:val="20"/>
          <w:lang w:val="fr-CA"/>
        </w:rPr>
        <w:t xml:space="preserve"> at</w:t>
      </w:r>
      <w:r>
        <w:rPr>
          <w:sz w:val="20"/>
          <w:szCs w:val="20"/>
          <w:lang w:val="fr-CA"/>
        </w:rPr>
        <w:t xml:space="preserve"> 197-208.</w:t>
      </w:r>
    </w:p>
  </w:footnote>
  <w:footnote w:id="53">
    <w:p w:rsidR="00B356AA" w:rsidRPr="005F3A9B" w:rsidRDefault="00B356AA" w:rsidP="005F3A9B">
      <w:pPr>
        <w:spacing w:after="0"/>
        <w:rPr>
          <w:sz w:val="20"/>
          <w:szCs w:val="20"/>
        </w:rPr>
      </w:pPr>
      <w:r w:rsidRPr="005F3A9B">
        <w:rPr>
          <w:rStyle w:val="Appelnotedebasdep"/>
          <w:sz w:val="20"/>
          <w:szCs w:val="20"/>
          <w:vertAlign w:val="superscript"/>
        </w:rPr>
        <w:footnoteRef/>
      </w:r>
      <w:r w:rsidRPr="00557920">
        <w:rPr>
          <w:i/>
          <w:iCs/>
          <w:sz w:val="20"/>
          <w:szCs w:val="20"/>
        </w:rPr>
        <w:t>Gosselin</w:t>
      </w:r>
      <w:r w:rsidRPr="00557920">
        <w:rPr>
          <w:sz w:val="20"/>
          <w:szCs w:val="20"/>
        </w:rPr>
        <w:t xml:space="preserve"> (SCC), </w:t>
      </w:r>
      <w:r w:rsidRPr="00557920">
        <w:rPr>
          <w:i/>
          <w:sz w:val="20"/>
          <w:szCs w:val="20"/>
        </w:rPr>
        <w:t>supra</w:t>
      </w:r>
      <w:r w:rsidRPr="00557920">
        <w:rPr>
          <w:sz w:val="20"/>
          <w:szCs w:val="20"/>
        </w:rPr>
        <w:t xml:space="preserve"> note </w:t>
      </w:r>
      <w:bookmarkStart w:id="5" w:name="_Hlk493525383"/>
      <w:r w:rsidRPr="00557920">
        <w:rPr>
          <w:sz w:val="20"/>
          <w:szCs w:val="20"/>
        </w:rPr>
        <w:t xml:space="preserve">5, para 5.  </w:t>
      </w:r>
      <w:r w:rsidRPr="005F3A9B">
        <w:rPr>
          <w:sz w:val="20"/>
          <w:szCs w:val="20"/>
        </w:rPr>
        <w:t xml:space="preserve">The majority </w:t>
      </w:r>
      <w:r>
        <w:rPr>
          <w:sz w:val="20"/>
          <w:szCs w:val="20"/>
        </w:rPr>
        <w:t xml:space="preserve">of the Court </w:t>
      </w:r>
      <w:r w:rsidRPr="005F3A9B">
        <w:rPr>
          <w:sz w:val="20"/>
          <w:szCs w:val="20"/>
        </w:rPr>
        <w:t xml:space="preserve">also rejected Louise Gosselin’s claim under the </w:t>
      </w:r>
      <w:r>
        <w:rPr>
          <w:sz w:val="20"/>
          <w:szCs w:val="20"/>
        </w:rPr>
        <w:t>Québec</w:t>
      </w:r>
      <w:r w:rsidRPr="005F3A9B">
        <w:rPr>
          <w:sz w:val="20"/>
          <w:szCs w:val="20"/>
        </w:rPr>
        <w:t xml:space="preserve"> </w:t>
      </w:r>
      <w:r w:rsidRPr="002D0D14">
        <w:rPr>
          <w:i/>
          <w:sz w:val="20"/>
          <w:szCs w:val="20"/>
        </w:rPr>
        <w:t>Charter</w:t>
      </w:r>
      <w:r>
        <w:rPr>
          <w:sz w:val="20"/>
          <w:szCs w:val="20"/>
        </w:rPr>
        <w:t xml:space="preserve"> concluding, at para 88, that while</w:t>
      </w:r>
      <w:r w:rsidRPr="002D0D14">
        <w:rPr>
          <w:sz w:val="20"/>
          <w:szCs w:val="20"/>
        </w:rPr>
        <w:t xml:space="preserve"> section 45 require</w:t>
      </w:r>
      <w:r>
        <w:rPr>
          <w:sz w:val="20"/>
          <w:szCs w:val="20"/>
        </w:rPr>
        <w:t>d</w:t>
      </w:r>
      <w:r w:rsidRPr="002D0D14">
        <w:rPr>
          <w:sz w:val="20"/>
          <w:szCs w:val="20"/>
        </w:rPr>
        <w:t xml:space="preserve"> the government to pr</w:t>
      </w:r>
      <w:r>
        <w:rPr>
          <w:sz w:val="20"/>
          <w:szCs w:val="20"/>
        </w:rPr>
        <w:t>ovide social assistance</w:t>
      </w:r>
      <w:r w:rsidRPr="002D0D14">
        <w:rPr>
          <w:sz w:val="20"/>
          <w:szCs w:val="20"/>
        </w:rPr>
        <w:t>, it place</w:t>
      </w:r>
      <w:r>
        <w:rPr>
          <w:sz w:val="20"/>
          <w:szCs w:val="20"/>
        </w:rPr>
        <w:t>d</w:t>
      </w:r>
      <w:r w:rsidRPr="002D0D14">
        <w:rPr>
          <w:sz w:val="20"/>
          <w:szCs w:val="20"/>
        </w:rPr>
        <w:t xml:space="preserve"> the adequacy of the particular measures a</w:t>
      </w:r>
      <w:r>
        <w:rPr>
          <w:sz w:val="20"/>
          <w:szCs w:val="20"/>
        </w:rPr>
        <w:t>dopted beyond judicial review.</w:t>
      </w:r>
    </w:p>
    <w:bookmarkEnd w:id="5"/>
  </w:footnote>
  <w:footnote w:id="5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66.  For a critique of this aspect of the decision see: Dianne Pothier, “But it’s for Your Own Good” in Margot Young et al eds, </w:t>
      </w:r>
      <w:r w:rsidRPr="00C225DC">
        <w:rPr>
          <w:i/>
          <w:sz w:val="20"/>
          <w:szCs w:val="20"/>
        </w:rPr>
        <w:t>Poverty: Rights, Social Citizenship and Legal Activism</w:t>
      </w:r>
      <w:r>
        <w:rPr>
          <w:sz w:val="20"/>
          <w:szCs w:val="20"/>
        </w:rPr>
        <w:t xml:space="preserve"> (Vancouver: UBC Press, 2007) 40 [Young et al, </w:t>
      </w:r>
      <w:r w:rsidRPr="000C7E62">
        <w:rPr>
          <w:i/>
          <w:sz w:val="20"/>
          <w:szCs w:val="20"/>
        </w:rPr>
        <w:t>Poverty: Rights</w:t>
      </w:r>
      <w:r>
        <w:rPr>
          <w:sz w:val="20"/>
          <w:szCs w:val="20"/>
        </w:rPr>
        <w:t xml:space="preserve">]; Diana Majury, “Women are Themselves to Blame: Choice as a Justification for Unequal Treatment” in Margaret Denike, Fay Faraday &amp; M. Kate Stephenson, eds, </w:t>
      </w:r>
      <w:r w:rsidRPr="00C225DC">
        <w:rPr>
          <w:i/>
          <w:sz w:val="20"/>
          <w:szCs w:val="20"/>
        </w:rPr>
        <w:t>Making Equality Rights Real: Substantive Equality Under the Charter</w:t>
      </w:r>
      <w:r>
        <w:rPr>
          <w:sz w:val="20"/>
          <w:szCs w:val="20"/>
        </w:rPr>
        <w:t xml:space="preserve"> (Toronto: Irwin Law, 2006) 209; Sheila McIntyre, “A Thin and Impoverished Notion of Judicial Review” (2006) 31 Queen’s LJ 731; Martha Jackman, “Sommes nous dignes? L’égalité et l’arrêt </w:t>
      </w:r>
      <w:r w:rsidRPr="002E22F4">
        <w:rPr>
          <w:i/>
          <w:sz w:val="20"/>
          <w:szCs w:val="20"/>
        </w:rPr>
        <w:t>Gosselin</w:t>
      </w:r>
      <w:r>
        <w:rPr>
          <w:sz w:val="20"/>
          <w:szCs w:val="20"/>
        </w:rPr>
        <w:t>” (2006) 16 CJWL 161; Gwen Brodsky, “</w:t>
      </w:r>
      <w:r w:rsidRPr="002E22F4">
        <w:rPr>
          <w:i/>
          <w:sz w:val="20"/>
          <w:szCs w:val="20"/>
        </w:rPr>
        <w:t xml:space="preserve">Gosselin v </w:t>
      </w:r>
      <w:r>
        <w:rPr>
          <w:i/>
          <w:sz w:val="20"/>
          <w:szCs w:val="20"/>
        </w:rPr>
        <w:t>Québec</w:t>
      </w:r>
      <w:r w:rsidRPr="002E22F4">
        <w:rPr>
          <w:i/>
          <w:sz w:val="20"/>
          <w:szCs w:val="20"/>
        </w:rPr>
        <w:t xml:space="preserve"> (Attorney General)</w:t>
      </w:r>
      <w:r>
        <w:rPr>
          <w:sz w:val="20"/>
          <w:szCs w:val="20"/>
        </w:rPr>
        <w:t>: Autonomy with a Vengeance” (2003) 15 CJWL 194.</w:t>
      </w:r>
    </w:p>
  </w:footnote>
  <w:footnote w:id="5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Gosselin </w:t>
      </w:r>
      <w:r>
        <w:rPr>
          <w:iCs/>
          <w:sz w:val="20"/>
          <w:szCs w:val="20"/>
        </w:rPr>
        <w:t xml:space="preserve">(SCC), </w:t>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70.</w:t>
      </w:r>
    </w:p>
  </w:footnote>
  <w:footnote w:id="5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76.</w:t>
      </w:r>
    </w:p>
  </w:footnote>
  <w:footnote w:id="5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82.</w:t>
      </w:r>
    </w:p>
  </w:footnote>
  <w:footnote w:id="5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83.</w:t>
      </w:r>
    </w:p>
  </w:footnote>
  <w:footnote w:id="59">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para 134, per L’Heureux-Dubé J.</w:t>
      </w:r>
      <w:r w:rsidRPr="0093543A">
        <w:rPr>
          <w:sz w:val="20"/>
          <w:szCs w:val="20"/>
        </w:rPr>
        <w:t xml:space="preserve">; para </w:t>
      </w:r>
      <w:r w:rsidRPr="005F3A9B">
        <w:rPr>
          <w:sz w:val="20"/>
          <w:szCs w:val="20"/>
        </w:rPr>
        <w:t xml:space="preserve">258, per Bastarache J.; </w:t>
      </w:r>
      <w:r>
        <w:rPr>
          <w:sz w:val="20"/>
          <w:szCs w:val="20"/>
        </w:rPr>
        <w:t xml:space="preserve">para </w:t>
      </w:r>
      <w:r w:rsidRPr="005F3A9B">
        <w:rPr>
          <w:sz w:val="20"/>
          <w:szCs w:val="20"/>
        </w:rPr>
        <w:t xml:space="preserve"> 395 per Arbour J.; </w:t>
      </w:r>
      <w:r>
        <w:rPr>
          <w:sz w:val="20"/>
          <w:szCs w:val="20"/>
        </w:rPr>
        <w:t xml:space="preserve">para </w:t>
      </w:r>
      <w:r w:rsidRPr="005F3A9B">
        <w:rPr>
          <w:sz w:val="20"/>
          <w:szCs w:val="20"/>
        </w:rPr>
        <w:t>413, per LeBel J.</w:t>
      </w:r>
    </w:p>
  </w:footnote>
  <w:footnote w:id="6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130.</w:t>
      </w:r>
    </w:p>
  </w:footnote>
  <w:footnote w:id="61">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93543A">
        <w:rPr>
          <w:sz w:val="20"/>
          <w:szCs w:val="20"/>
        </w:rPr>
        <w:t xml:space="preserve">140 per l’Heureux-Dubé J.; para </w:t>
      </w:r>
      <w:r w:rsidRPr="005F3A9B">
        <w:rPr>
          <w:sz w:val="20"/>
          <w:szCs w:val="20"/>
        </w:rPr>
        <w:t xml:space="preserve">290, per Bastarache J.; </w:t>
      </w:r>
      <w:r>
        <w:rPr>
          <w:sz w:val="20"/>
          <w:szCs w:val="20"/>
        </w:rPr>
        <w:t xml:space="preserve">para </w:t>
      </w:r>
      <w:r w:rsidRPr="005F3A9B">
        <w:rPr>
          <w:sz w:val="20"/>
          <w:szCs w:val="20"/>
        </w:rPr>
        <w:t xml:space="preserve">394, per Arbour J.; </w:t>
      </w:r>
      <w:r>
        <w:rPr>
          <w:sz w:val="20"/>
          <w:szCs w:val="20"/>
        </w:rPr>
        <w:t xml:space="preserve">para </w:t>
      </w:r>
      <w:r w:rsidRPr="005F3A9B">
        <w:rPr>
          <w:sz w:val="20"/>
          <w:szCs w:val="20"/>
        </w:rPr>
        <w:t>413, per LeBel J.</w:t>
      </w:r>
    </w:p>
  </w:footnote>
  <w:footnote w:id="62">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290.</w:t>
      </w:r>
    </w:p>
  </w:footnote>
  <w:footnote w:id="63">
    <w:p w:rsidR="00B356AA" w:rsidRPr="005F3A9B" w:rsidRDefault="00B356AA" w:rsidP="002E22F4">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para 385</w:t>
      </w:r>
      <w:r w:rsidRPr="005F3A9B">
        <w:rPr>
          <w:sz w:val="20"/>
          <w:szCs w:val="20"/>
        </w:rPr>
        <w:t>.</w:t>
      </w:r>
    </w:p>
  </w:footnote>
  <w:footnote w:id="6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373.</w:t>
      </w:r>
    </w:p>
  </w:footnote>
  <w:footnote w:id="65">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paras </w:t>
      </w:r>
      <w:r w:rsidRPr="005F3A9B">
        <w:rPr>
          <w:sz w:val="20"/>
          <w:szCs w:val="20"/>
        </w:rPr>
        <w:t>374-375.</w:t>
      </w:r>
    </w:p>
  </w:footnote>
  <w:footnote w:id="6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332.</w:t>
      </w:r>
    </w:p>
  </w:footnote>
  <w:footnote w:id="6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371.</w:t>
      </w:r>
    </w:p>
  </w:footnote>
  <w:footnote w:id="6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2E22F4">
        <w:rPr>
          <w:iCs/>
          <w:sz w:val="20"/>
          <w:szCs w:val="20"/>
        </w:rPr>
        <w:t>at</w:t>
      </w:r>
      <w:r w:rsidRPr="005F3A9B">
        <w:rPr>
          <w:sz w:val="20"/>
          <w:szCs w:val="20"/>
        </w:rPr>
        <w:t xml:space="preserve"> </w:t>
      </w:r>
      <w:r>
        <w:rPr>
          <w:sz w:val="20"/>
          <w:szCs w:val="20"/>
        </w:rPr>
        <w:t xml:space="preserve">para </w:t>
      </w:r>
      <w:r w:rsidRPr="005F3A9B">
        <w:rPr>
          <w:sz w:val="20"/>
          <w:szCs w:val="20"/>
        </w:rPr>
        <w:t>394.</w:t>
      </w:r>
    </w:p>
  </w:footnote>
  <w:footnote w:id="69">
    <w:p w:rsidR="00B356AA" w:rsidRPr="005F3A9B" w:rsidRDefault="00B356AA" w:rsidP="002E22F4">
      <w:pPr>
        <w:spacing w:after="0"/>
        <w:rPr>
          <w:sz w:val="20"/>
          <w:szCs w:val="20"/>
        </w:rPr>
      </w:pPr>
      <w:r w:rsidRPr="005F3A9B">
        <w:rPr>
          <w:rStyle w:val="Appelnotedebasdep"/>
          <w:sz w:val="20"/>
          <w:szCs w:val="20"/>
          <w:vertAlign w:val="superscript"/>
        </w:rPr>
        <w:footnoteRef/>
      </w:r>
      <w:r w:rsidRPr="005D5A1C">
        <w:rPr>
          <w:iCs/>
          <w:sz w:val="20"/>
          <w:szCs w:val="20"/>
        </w:rPr>
        <w:t>GA Res 217 (III), UNGAOR, 3d Sess, Supp No 13, UN Doc A/810 (1948) [</w:t>
      </w:r>
      <w:r w:rsidRPr="005D5A1C">
        <w:rPr>
          <w:i/>
          <w:iCs/>
          <w:sz w:val="20"/>
          <w:szCs w:val="20"/>
        </w:rPr>
        <w:t>UN Declaration</w:t>
      </w:r>
      <w:r w:rsidRPr="005D5A1C">
        <w:rPr>
          <w:iCs/>
          <w:sz w:val="20"/>
          <w:szCs w:val="20"/>
        </w:rPr>
        <w:t xml:space="preserve">].  </w:t>
      </w:r>
      <w:r>
        <w:rPr>
          <w:sz w:val="20"/>
          <w:szCs w:val="20"/>
        </w:rPr>
        <w:t>In particul</w:t>
      </w:r>
      <w:r w:rsidRPr="005F3A9B">
        <w:rPr>
          <w:sz w:val="20"/>
          <w:szCs w:val="20"/>
        </w:rPr>
        <w:t xml:space="preserve">ar, Article 25(1) of the </w:t>
      </w:r>
      <w:r w:rsidRPr="005F3A9B">
        <w:rPr>
          <w:i/>
          <w:sz w:val="20"/>
          <w:szCs w:val="20"/>
        </w:rPr>
        <w:t>UN Declaration</w:t>
      </w:r>
      <w:r w:rsidRPr="005F3A9B">
        <w:rPr>
          <w:sz w:val="20"/>
          <w:szCs w:val="20"/>
        </w:rPr>
        <w:t xml:space="preserve"> affirms that: “Everyone has the right to a standard of living adequate for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footnote>
  <w:footnote w:id="70">
    <w:p w:rsidR="00B356AA" w:rsidRPr="00313A41" w:rsidRDefault="00B356AA" w:rsidP="00313A41">
      <w:pPr>
        <w:spacing w:after="0"/>
        <w:rPr>
          <w:iCs/>
          <w:sz w:val="20"/>
          <w:szCs w:val="20"/>
        </w:rPr>
      </w:pPr>
      <w:r w:rsidRPr="005F3A9B">
        <w:rPr>
          <w:rStyle w:val="Appelnotedebasdep"/>
          <w:sz w:val="20"/>
          <w:szCs w:val="20"/>
          <w:vertAlign w:val="superscript"/>
        </w:rPr>
        <w:footnoteRef/>
      </w:r>
      <w:r>
        <w:rPr>
          <w:iCs/>
          <w:sz w:val="20"/>
          <w:szCs w:val="20"/>
        </w:rPr>
        <w:t xml:space="preserve"> </w:t>
      </w:r>
      <w:r w:rsidRPr="00313A41">
        <w:rPr>
          <w:i/>
          <w:iCs/>
          <w:sz w:val="20"/>
          <w:szCs w:val="20"/>
        </w:rPr>
        <w:t>International Covenant on Economic, Social and Cultural Rights</w:t>
      </w:r>
      <w:r w:rsidRPr="00313A41">
        <w:rPr>
          <w:iCs/>
          <w:sz w:val="20"/>
          <w:szCs w:val="20"/>
        </w:rPr>
        <w:t>, 16 December 1966, 993 UNTS 3,</w:t>
      </w:r>
    </w:p>
    <w:p w:rsidR="00B356AA" w:rsidRPr="005F3A9B" w:rsidRDefault="00B356AA" w:rsidP="00313A41">
      <w:pPr>
        <w:spacing w:after="0"/>
        <w:rPr>
          <w:sz w:val="20"/>
          <w:szCs w:val="20"/>
        </w:rPr>
      </w:pPr>
      <w:r w:rsidRPr="00313A41">
        <w:rPr>
          <w:iCs/>
          <w:sz w:val="20"/>
          <w:szCs w:val="20"/>
        </w:rPr>
        <w:t>Can TS 1976 No 46 (entered into force 3 January 1976, accession by Canada 19 May 1976)</w:t>
      </w:r>
      <w:r>
        <w:rPr>
          <w:iCs/>
          <w:sz w:val="20"/>
          <w:szCs w:val="20"/>
        </w:rPr>
        <w:t xml:space="preserve"> [</w:t>
      </w:r>
      <w:r w:rsidRPr="006046FE">
        <w:rPr>
          <w:i/>
          <w:iCs/>
          <w:sz w:val="20"/>
          <w:szCs w:val="20"/>
        </w:rPr>
        <w:t>ICESCR</w:t>
      </w:r>
      <w:r>
        <w:rPr>
          <w:iCs/>
          <w:sz w:val="20"/>
          <w:szCs w:val="20"/>
        </w:rPr>
        <w:t>]</w:t>
      </w:r>
      <w:r w:rsidRPr="00313A41">
        <w:rPr>
          <w:iCs/>
          <w:sz w:val="20"/>
          <w:szCs w:val="20"/>
        </w:rPr>
        <w:t xml:space="preserve">. </w:t>
      </w:r>
      <w:r>
        <w:rPr>
          <w:iCs/>
          <w:sz w:val="20"/>
          <w:szCs w:val="20"/>
        </w:rPr>
        <w:t xml:space="preserve"> </w:t>
      </w:r>
      <w:r w:rsidRPr="005F3A9B">
        <w:rPr>
          <w:sz w:val="20"/>
          <w:szCs w:val="20"/>
        </w:rPr>
        <w:t xml:space="preserve">Of direct relevance in the </w:t>
      </w:r>
      <w:r w:rsidRPr="005F3A9B">
        <w:rPr>
          <w:i/>
          <w:sz w:val="20"/>
          <w:szCs w:val="20"/>
        </w:rPr>
        <w:t>Gosselin</w:t>
      </w:r>
      <w:r w:rsidRPr="005F3A9B">
        <w:rPr>
          <w:sz w:val="20"/>
          <w:szCs w:val="20"/>
        </w:rPr>
        <w:t xml:space="preserve"> case, article 9 of the </w:t>
      </w:r>
      <w:r w:rsidRPr="005F3A9B">
        <w:rPr>
          <w:i/>
          <w:sz w:val="20"/>
          <w:szCs w:val="20"/>
        </w:rPr>
        <w:t>ICESCR</w:t>
      </w:r>
      <w:r w:rsidRPr="005F3A9B">
        <w:rPr>
          <w:sz w:val="20"/>
          <w:szCs w:val="20"/>
        </w:rPr>
        <w:t xml:space="preserve"> guarantees the right to social security and social insurance; article 11, the right to an adequate standard of living, including adequate food, clothing and housing; and article 12, the right to the highest attainable standard of physical and mental health.</w:t>
      </w:r>
    </w:p>
  </w:footnote>
  <w:footnote w:id="71">
    <w:p w:rsidR="00B356AA" w:rsidRPr="00313A41" w:rsidRDefault="00B356AA" w:rsidP="00313A41">
      <w:pPr>
        <w:spacing w:after="0"/>
        <w:rPr>
          <w:sz w:val="20"/>
          <w:szCs w:val="20"/>
        </w:rPr>
      </w:pPr>
      <w:r w:rsidRPr="005F3A9B">
        <w:rPr>
          <w:rStyle w:val="Appelnotedebasdep"/>
          <w:sz w:val="20"/>
          <w:szCs w:val="20"/>
          <w:vertAlign w:val="superscript"/>
        </w:rPr>
        <w:footnoteRef/>
      </w:r>
      <w:r>
        <w:rPr>
          <w:iCs/>
          <w:sz w:val="20"/>
          <w:szCs w:val="20"/>
        </w:rPr>
        <w:t xml:space="preserve"> </w:t>
      </w:r>
      <w:r w:rsidRPr="00313A41">
        <w:rPr>
          <w:i/>
          <w:sz w:val="20"/>
          <w:szCs w:val="20"/>
        </w:rPr>
        <w:t>International Covenant on Civil and Political Rights</w:t>
      </w:r>
      <w:r w:rsidRPr="00313A41">
        <w:rPr>
          <w:sz w:val="20"/>
          <w:szCs w:val="20"/>
        </w:rPr>
        <w:t>, 19 December 1966, 999 UNTS 171, Can TS 1976</w:t>
      </w:r>
    </w:p>
    <w:p w:rsidR="00B356AA" w:rsidRPr="005F3A9B" w:rsidRDefault="00B356AA" w:rsidP="00313A41">
      <w:pPr>
        <w:spacing w:after="0"/>
        <w:rPr>
          <w:sz w:val="20"/>
          <w:szCs w:val="20"/>
        </w:rPr>
      </w:pPr>
      <w:r w:rsidRPr="00313A41">
        <w:rPr>
          <w:sz w:val="20"/>
          <w:szCs w:val="20"/>
        </w:rPr>
        <w:t>No 47 (entered into force 23 March 1976, accession by Canada 19 May 1976)</w:t>
      </w:r>
      <w:r>
        <w:rPr>
          <w:iCs/>
          <w:sz w:val="20"/>
          <w:szCs w:val="20"/>
        </w:rPr>
        <w:t xml:space="preserve"> [</w:t>
      </w:r>
      <w:r>
        <w:rPr>
          <w:i/>
          <w:iCs/>
          <w:sz w:val="20"/>
          <w:szCs w:val="20"/>
        </w:rPr>
        <w:t>ICCP</w:t>
      </w:r>
      <w:r w:rsidRPr="006046FE">
        <w:rPr>
          <w:i/>
          <w:iCs/>
          <w:sz w:val="20"/>
          <w:szCs w:val="20"/>
        </w:rPr>
        <w:t>R</w:t>
      </w:r>
      <w:r>
        <w:rPr>
          <w:iCs/>
          <w:sz w:val="20"/>
          <w:szCs w:val="20"/>
        </w:rPr>
        <w:t>]</w:t>
      </w:r>
      <w:r w:rsidRPr="00313A41">
        <w:rPr>
          <w:sz w:val="20"/>
          <w:szCs w:val="20"/>
        </w:rPr>
        <w:t>.</w:t>
      </w:r>
      <w:r>
        <w:rPr>
          <w:sz w:val="20"/>
          <w:szCs w:val="20"/>
        </w:rPr>
        <w:t xml:space="preserve">  </w:t>
      </w:r>
      <w:r w:rsidRPr="005F3A9B">
        <w:rPr>
          <w:sz w:val="20"/>
          <w:szCs w:val="20"/>
        </w:rPr>
        <w:t xml:space="preserve">In tandem with the </w:t>
      </w:r>
      <w:r w:rsidRPr="005F3A9B">
        <w:rPr>
          <w:i/>
          <w:sz w:val="20"/>
          <w:szCs w:val="20"/>
        </w:rPr>
        <w:t>ICESCR</w:t>
      </w:r>
      <w:r w:rsidRPr="005F3A9B">
        <w:rPr>
          <w:sz w:val="20"/>
          <w:szCs w:val="20"/>
        </w:rPr>
        <w:t xml:space="preserve">, the </w:t>
      </w:r>
      <w:r w:rsidRPr="005F3A9B">
        <w:rPr>
          <w:i/>
          <w:sz w:val="20"/>
          <w:szCs w:val="20"/>
        </w:rPr>
        <w:t>ICCPR</w:t>
      </w:r>
      <w:r w:rsidRPr="005F3A9B">
        <w:rPr>
          <w:sz w:val="20"/>
          <w:szCs w:val="20"/>
        </w:rPr>
        <w:t xml:space="preserve"> abandons the outmoded distinction between positive and negative rights.  As the preambles of both </w:t>
      </w:r>
      <w:r w:rsidRPr="006046FE">
        <w:rPr>
          <w:i/>
          <w:sz w:val="20"/>
          <w:szCs w:val="20"/>
        </w:rPr>
        <w:t>Covenants</w:t>
      </w:r>
      <w:r w:rsidRPr="005F3A9B">
        <w:rPr>
          <w:sz w:val="20"/>
          <w:szCs w:val="20"/>
        </w:rPr>
        <w:t xml:space="preserve"> affirm: “the ideal of free human beings enjoying freedom from fear and want can only be achieved if conditions are created whereby everyone may enjoy … economic, social and cultural rights as well as … civil and political rights…”</w:t>
      </w:r>
      <w:r>
        <w:rPr>
          <w:sz w:val="20"/>
          <w:szCs w:val="20"/>
        </w:rPr>
        <w:t xml:space="preserve">  All subsequent international human rights treaties ratified by Canada similarly reflect the principle of interdependence of all human rights and impose positive obligations on Canadian governments to protect health, welfare and other security of the person related interests without discrimination.  S</w:t>
      </w:r>
      <w:r w:rsidRPr="00CC0480">
        <w:rPr>
          <w:sz w:val="20"/>
          <w:szCs w:val="20"/>
        </w:rPr>
        <w:t xml:space="preserve">ee </w:t>
      </w:r>
      <w:r>
        <w:rPr>
          <w:sz w:val="20"/>
          <w:szCs w:val="20"/>
        </w:rPr>
        <w:t xml:space="preserve">generally </w:t>
      </w:r>
      <w:r w:rsidRPr="00CC0480">
        <w:rPr>
          <w:sz w:val="20"/>
          <w:szCs w:val="20"/>
        </w:rPr>
        <w:t xml:space="preserve">Bruce Porter, “International Human Rights in Anti-poverty and Housing Strategies: Making the Connection” </w:t>
      </w:r>
      <w:r>
        <w:rPr>
          <w:sz w:val="20"/>
          <w:szCs w:val="20"/>
        </w:rPr>
        <w:t xml:space="preserve">[Porter, “Making the Connection”] </w:t>
      </w:r>
      <w:r w:rsidRPr="00CC0480">
        <w:rPr>
          <w:sz w:val="20"/>
          <w:szCs w:val="20"/>
        </w:rPr>
        <w:t xml:space="preserve">in Martha Jackman &amp; Bruce Porter, eds, </w:t>
      </w:r>
      <w:r w:rsidRPr="00CC0480">
        <w:rPr>
          <w:i/>
          <w:sz w:val="20"/>
          <w:szCs w:val="20"/>
        </w:rPr>
        <w:t>Advancing Social Rights in Canada</w:t>
      </w:r>
      <w:r w:rsidRPr="00CC0480">
        <w:rPr>
          <w:sz w:val="20"/>
          <w:szCs w:val="20"/>
        </w:rPr>
        <w:t xml:space="preserve"> (Toronto: Irwin Law, 2014) [Jackman &amp; Porter, </w:t>
      </w:r>
      <w:r w:rsidRPr="00CC0480">
        <w:rPr>
          <w:i/>
          <w:sz w:val="20"/>
          <w:szCs w:val="20"/>
        </w:rPr>
        <w:t>Advancing Social Rights</w:t>
      </w:r>
      <w:r w:rsidRPr="00CC0480">
        <w:rPr>
          <w:sz w:val="20"/>
          <w:szCs w:val="20"/>
        </w:rPr>
        <w:t>]</w:t>
      </w:r>
      <w:r>
        <w:rPr>
          <w:sz w:val="20"/>
          <w:szCs w:val="20"/>
        </w:rPr>
        <w:t xml:space="preserve"> 33; Leilani Farha, “Committee on the Elimination of Discrimination against Women: Women Claiming Economic, Social and Cultural Rights – the CEDAW Potential” in Malcolm Langford, ed., </w:t>
      </w:r>
      <w:r w:rsidRPr="0040455A">
        <w:rPr>
          <w:i/>
          <w:sz w:val="20"/>
          <w:szCs w:val="20"/>
        </w:rPr>
        <w:t>Social Rights Jurisprudence: Emerging Trends in International and Comparative Law</w:t>
      </w:r>
      <w:r>
        <w:rPr>
          <w:sz w:val="20"/>
          <w:szCs w:val="20"/>
        </w:rPr>
        <w:t xml:space="preserve"> (New York: Cambridge University Press, 2008) 553; Gwen Brodsky &amp; Shelagh Day, “Beyond the Social and Economic Rights Debate: Substantive Equality Speaks to Poverty” (2002) 14 CJWL 185.</w:t>
      </w:r>
    </w:p>
  </w:footnote>
  <w:footnote w:id="72">
    <w:p w:rsidR="00B356AA" w:rsidRPr="005F3A9B" w:rsidRDefault="00B356AA" w:rsidP="005F3A9B">
      <w:pPr>
        <w:spacing w:after="0"/>
        <w:rPr>
          <w:sz w:val="20"/>
          <w:szCs w:val="20"/>
        </w:rPr>
      </w:pPr>
      <w:r w:rsidRPr="005F3A9B">
        <w:rPr>
          <w:rStyle w:val="Appelnotedebasdep"/>
          <w:sz w:val="20"/>
          <w:szCs w:val="20"/>
          <w:vertAlign w:val="superscript"/>
        </w:rPr>
        <w:footnoteRef/>
      </w:r>
      <w:r w:rsidRPr="00C466B9">
        <w:rPr>
          <w:i/>
          <w:sz w:val="20"/>
          <w:szCs w:val="20"/>
        </w:rPr>
        <w:t>ICESCR</w:t>
      </w:r>
      <w:r>
        <w:rPr>
          <w:sz w:val="20"/>
          <w:szCs w:val="20"/>
        </w:rPr>
        <w:t xml:space="preserve">, </w:t>
      </w:r>
      <w:r w:rsidRPr="00F6516B">
        <w:rPr>
          <w:i/>
          <w:sz w:val="20"/>
          <w:szCs w:val="20"/>
        </w:rPr>
        <w:t>supra</w:t>
      </w:r>
      <w:r>
        <w:rPr>
          <w:sz w:val="20"/>
          <w:szCs w:val="20"/>
        </w:rPr>
        <w:t xml:space="preserve"> note 70, article 11(1).  Article 28 provides that</w:t>
      </w:r>
      <w:r w:rsidRPr="006E62B9">
        <w:rPr>
          <w:sz w:val="20"/>
          <w:szCs w:val="20"/>
        </w:rPr>
        <w:t xml:space="preserve"> “The provisions of the present Covenant shall extend to all parts of federal States without any limitations or exceptions</w:t>
      </w:r>
      <w:r>
        <w:rPr>
          <w:sz w:val="20"/>
          <w:szCs w:val="20"/>
        </w:rPr>
        <w:t xml:space="preserve">”; see generally Porter, “Making the Connection”, </w:t>
      </w:r>
      <w:r w:rsidRPr="00001018">
        <w:rPr>
          <w:i/>
          <w:sz w:val="20"/>
          <w:szCs w:val="20"/>
        </w:rPr>
        <w:t>ibid</w:t>
      </w:r>
      <w:r>
        <w:rPr>
          <w:sz w:val="20"/>
          <w:szCs w:val="20"/>
        </w:rPr>
        <w:t xml:space="preserve">; Martha Jackman, “The Protection of Welfare Rights Under the </w:t>
      </w:r>
      <w:r w:rsidRPr="00D53B0E">
        <w:rPr>
          <w:i/>
          <w:sz w:val="20"/>
          <w:szCs w:val="20"/>
        </w:rPr>
        <w:t>Charter</w:t>
      </w:r>
      <w:r>
        <w:rPr>
          <w:sz w:val="20"/>
          <w:szCs w:val="20"/>
        </w:rPr>
        <w:t>” (1988) 20 Ottawa L Rev 257 [Jackman, “Welfare Rights”].</w:t>
      </w:r>
    </w:p>
  </w:footnote>
  <w:footnote w:id="73">
    <w:p w:rsidR="00B356AA" w:rsidRPr="003F1B0B" w:rsidRDefault="00B356AA" w:rsidP="00687F03">
      <w:pPr>
        <w:spacing w:after="0"/>
        <w:rPr>
          <w:iCs/>
          <w:sz w:val="20"/>
          <w:szCs w:val="20"/>
        </w:rPr>
      </w:pPr>
      <w:r w:rsidRPr="005F3A9B">
        <w:rPr>
          <w:rStyle w:val="Appelnotedebasdep"/>
          <w:sz w:val="20"/>
          <w:szCs w:val="20"/>
          <w:vertAlign w:val="superscript"/>
        </w:rPr>
        <w:footnoteRef/>
      </w:r>
      <w:r w:rsidRPr="005F3A9B">
        <w:rPr>
          <w:i/>
          <w:iCs/>
          <w:sz w:val="20"/>
          <w:szCs w:val="20"/>
        </w:rPr>
        <w:t>ICESCR</w:t>
      </w:r>
      <w:r w:rsidRPr="005F3A9B">
        <w:rPr>
          <w:iCs/>
          <w:sz w:val="20"/>
          <w:szCs w:val="20"/>
        </w:rPr>
        <w:t xml:space="preserve">, </w:t>
      </w:r>
      <w:r>
        <w:rPr>
          <w:i/>
          <w:iCs/>
          <w:sz w:val="20"/>
          <w:szCs w:val="20"/>
        </w:rPr>
        <w:t xml:space="preserve">ibid., </w:t>
      </w:r>
      <w:r>
        <w:rPr>
          <w:iCs/>
          <w:sz w:val="20"/>
          <w:szCs w:val="20"/>
        </w:rPr>
        <w:t xml:space="preserve">article 2(1); </w:t>
      </w:r>
      <w:r w:rsidRPr="00ED1115">
        <w:rPr>
          <w:iCs/>
          <w:sz w:val="20"/>
          <w:szCs w:val="20"/>
        </w:rPr>
        <w:t xml:space="preserve">United Nations Committee on Economic, Social and Cultural Rights, </w:t>
      </w:r>
      <w:r w:rsidRPr="00ED1115">
        <w:rPr>
          <w:i/>
          <w:iCs/>
          <w:sz w:val="20"/>
          <w:szCs w:val="20"/>
        </w:rPr>
        <w:t>General Comment 3:</w:t>
      </w:r>
      <w:r>
        <w:rPr>
          <w:i/>
          <w:iCs/>
          <w:sz w:val="20"/>
          <w:szCs w:val="20"/>
        </w:rPr>
        <w:t xml:space="preserve"> </w:t>
      </w:r>
      <w:r w:rsidRPr="00ED1115">
        <w:rPr>
          <w:i/>
          <w:iCs/>
          <w:sz w:val="20"/>
          <w:szCs w:val="20"/>
        </w:rPr>
        <w:t>The Nature of States Parties Obligations (art 2, para 1 of the Covenant)</w:t>
      </w:r>
      <w:r w:rsidRPr="00ED1115">
        <w:rPr>
          <w:iCs/>
          <w:sz w:val="20"/>
          <w:szCs w:val="20"/>
        </w:rPr>
        <w:t>, UNCESCR</w:t>
      </w:r>
      <w:r>
        <w:rPr>
          <w:iCs/>
          <w:sz w:val="20"/>
          <w:szCs w:val="20"/>
        </w:rPr>
        <w:t xml:space="preserve">OR, 5th Sess, UN Doc E/1991/23, </w:t>
      </w:r>
      <w:r w:rsidRPr="00ED1115">
        <w:rPr>
          <w:iCs/>
          <w:sz w:val="20"/>
          <w:szCs w:val="20"/>
        </w:rPr>
        <w:t>(1990)</w:t>
      </w:r>
      <w:r>
        <w:rPr>
          <w:iCs/>
          <w:sz w:val="20"/>
          <w:szCs w:val="20"/>
        </w:rPr>
        <w:t xml:space="preserve">; Porter, “Making the Connection”, </w:t>
      </w:r>
      <w:r w:rsidRPr="00ED1115">
        <w:rPr>
          <w:i/>
          <w:iCs/>
          <w:sz w:val="20"/>
          <w:szCs w:val="20"/>
        </w:rPr>
        <w:t>ibid</w:t>
      </w:r>
      <w:r>
        <w:rPr>
          <w:iCs/>
          <w:sz w:val="20"/>
          <w:szCs w:val="20"/>
        </w:rPr>
        <w:t>.</w:t>
      </w:r>
    </w:p>
  </w:footnote>
  <w:footnote w:id="74">
    <w:p w:rsidR="00B356AA" w:rsidRPr="005F3A9B" w:rsidRDefault="00B356AA" w:rsidP="00EA18CC">
      <w:pPr>
        <w:spacing w:after="0"/>
        <w:rPr>
          <w:sz w:val="20"/>
          <w:szCs w:val="20"/>
        </w:rPr>
      </w:pPr>
      <w:r w:rsidRPr="00EA18CC">
        <w:rPr>
          <w:rStyle w:val="Appelnotedebasdep"/>
          <w:i/>
          <w:sz w:val="20"/>
          <w:szCs w:val="20"/>
          <w:vertAlign w:val="superscript"/>
        </w:rPr>
        <w:footnoteRef/>
      </w:r>
      <w:r w:rsidRPr="00EA18CC">
        <w:rPr>
          <w:i/>
          <w:sz w:val="20"/>
          <w:szCs w:val="20"/>
        </w:rPr>
        <w:t>Reference Re Public S</w:t>
      </w:r>
      <w:r>
        <w:rPr>
          <w:i/>
          <w:sz w:val="20"/>
          <w:szCs w:val="20"/>
        </w:rPr>
        <w:t>e</w:t>
      </w:r>
      <w:r w:rsidRPr="00EA18CC">
        <w:rPr>
          <w:i/>
          <w:sz w:val="20"/>
          <w:szCs w:val="20"/>
        </w:rPr>
        <w:t>rvice Employee Relations Act (Alberta)</w:t>
      </w:r>
      <w:r>
        <w:rPr>
          <w:sz w:val="20"/>
          <w:szCs w:val="20"/>
        </w:rPr>
        <w:t xml:space="preserve">, [1987] 1 SCR 319 at para 59; </w:t>
      </w:r>
      <w:r w:rsidRPr="00222753">
        <w:rPr>
          <w:i/>
          <w:sz w:val="20"/>
          <w:szCs w:val="20"/>
        </w:rPr>
        <w:t>Health Services and Support – Facilities Subsector Bargaining Assn v British Columbia</w:t>
      </w:r>
      <w:r>
        <w:rPr>
          <w:sz w:val="20"/>
          <w:szCs w:val="20"/>
        </w:rPr>
        <w:t>, 2007 SCC 27 at paras 70</w:t>
      </w:r>
      <w:r w:rsidR="003923EA">
        <w:rPr>
          <w:sz w:val="20"/>
          <w:szCs w:val="20"/>
        </w:rPr>
        <w:t xml:space="preserve"> [</w:t>
      </w:r>
      <w:r w:rsidR="003923EA" w:rsidRPr="003923EA">
        <w:rPr>
          <w:i/>
          <w:sz w:val="20"/>
          <w:szCs w:val="20"/>
        </w:rPr>
        <w:t>Health Services Assn</w:t>
      </w:r>
      <w:r w:rsidR="003923EA">
        <w:rPr>
          <w:sz w:val="20"/>
          <w:szCs w:val="20"/>
        </w:rPr>
        <w:t>]</w:t>
      </w:r>
      <w:r>
        <w:rPr>
          <w:sz w:val="20"/>
          <w:szCs w:val="20"/>
        </w:rPr>
        <w:t xml:space="preserve">; </w:t>
      </w:r>
      <w:r w:rsidRPr="00222753">
        <w:rPr>
          <w:i/>
          <w:sz w:val="20"/>
          <w:szCs w:val="20"/>
        </w:rPr>
        <w:t>Ontario (Attorney Gene</w:t>
      </w:r>
      <w:r>
        <w:rPr>
          <w:i/>
          <w:sz w:val="20"/>
          <w:szCs w:val="20"/>
        </w:rPr>
        <w:t>r</w:t>
      </w:r>
      <w:r w:rsidRPr="00222753">
        <w:rPr>
          <w:i/>
          <w:sz w:val="20"/>
          <w:szCs w:val="20"/>
        </w:rPr>
        <w:t>al) v Fraser</w:t>
      </w:r>
      <w:r>
        <w:rPr>
          <w:sz w:val="20"/>
          <w:szCs w:val="20"/>
        </w:rPr>
        <w:t xml:space="preserve">, 2011 SCC 20 at para 92; </w:t>
      </w:r>
      <w:r w:rsidRPr="00222753">
        <w:rPr>
          <w:i/>
          <w:sz w:val="20"/>
          <w:szCs w:val="20"/>
        </w:rPr>
        <w:t>Saskatchewan Federation of Labour v Saskatchewan</w:t>
      </w:r>
      <w:r>
        <w:rPr>
          <w:sz w:val="20"/>
          <w:szCs w:val="20"/>
        </w:rPr>
        <w:t xml:space="preserve">, 2015 SCC 4 at paras 62-65; see generally Porter, </w:t>
      </w:r>
      <w:r w:rsidRPr="00F828CA">
        <w:rPr>
          <w:i/>
          <w:sz w:val="20"/>
          <w:szCs w:val="20"/>
        </w:rPr>
        <w:t>ibid</w:t>
      </w:r>
      <w:r>
        <w:rPr>
          <w:sz w:val="20"/>
          <w:szCs w:val="20"/>
        </w:rPr>
        <w:t xml:space="preserve">; </w:t>
      </w:r>
      <w:r w:rsidRPr="005F3A9B">
        <w:rPr>
          <w:iCs/>
          <w:sz w:val="20"/>
          <w:szCs w:val="20"/>
        </w:rPr>
        <w:t>Martha Jackman &amp; Bruce Porter, “Introduction</w:t>
      </w:r>
      <w:r>
        <w:rPr>
          <w:iCs/>
          <w:sz w:val="20"/>
          <w:szCs w:val="20"/>
        </w:rPr>
        <w:t>: Advancing Social Rights in Canada</w:t>
      </w:r>
      <w:r w:rsidRPr="005F3A9B">
        <w:rPr>
          <w:iCs/>
          <w:sz w:val="20"/>
          <w:szCs w:val="20"/>
        </w:rPr>
        <w:t xml:space="preserve">” in </w:t>
      </w:r>
      <w:r>
        <w:rPr>
          <w:iCs/>
          <w:sz w:val="20"/>
          <w:szCs w:val="20"/>
        </w:rPr>
        <w:t xml:space="preserve">Jackman &amp; Porter, </w:t>
      </w:r>
      <w:r w:rsidRPr="005F3A9B">
        <w:rPr>
          <w:i/>
          <w:iCs/>
          <w:sz w:val="20"/>
          <w:szCs w:val="20"/>
        </w:rPr>
        <w:t>Advancing Social Ri</w:t>
      </w:r>
      <w:r>
        <w:rPr>
          <w:i/>
          <w:iCs/>
          <w:sz w:val="20"/>
          <w:szCs w:val="20"/>
        </w:rPr>
        <w:t>ghts</w:t>
      </w:r>
      <w:r>
        <w:rPr>
          <w:iCs/>
          <w:sz w:val="20"/>
          <w:szCs w:val="20"/>
        </w:rPr>
        <w:t>, supra note 71 at 5-6.</w:t>
      </w:r>
    </w:p>
  </w:footnote>
  <w:footnote w:id="75">
    <w:p w:rsidR="00B356AA" w:rsidRPr="005F3A9B" w:rsidRDefault="00B356AA" w:rsidP="00163A8C">
      <w:pPr>
        <w:spacing w:after="0"/>
        <w:rPr>
          <w:sz w:val="20"/>
          <w:szCs w:val="20"/>
        </w:rPr>
      </w:pPr>
      <w:r w:rsidRPr="005F3A9B">
        <w:rPr>
          <w:rStyle w:val="Appelnotedebasdep"/>
          <w:sz w:val="20"/>
          <w:szCs w:val="20"/>
          <w:vertAlign w:val="superscript"/>
        </w:rPr>
        <w:footnoteRef/>
      </w:r>
      <w:r>
        <w:rPr>
          <w:iCs/>
          <w:sz w:val="20"/>
          <w:szCs w:val="20"/>
        </w:rPr>
        <w:t xml:space="preserve"> See Jackman &amp; </w:t>
      </w:r>
      <w:r w:rsidRPr="005F3A9B">
        <w:rPr>
          <w:iCs/>
          <w:sz w:val="20"/>
          <w:szCs w:val="20"/>
        </w:rPr>
        <w:t>Porter,</w:t>
      </w:r>
      <w:r>
        <w:rPr>
          <w:iCs/>
          <w:sz w:val="20"/>
          <w:szCs w:val="20"/>
        </w:rPr>
        <w:t xml:space="preserve"> </w:t>
      </w:r>
      <w:r w:rsidRPr="00F828CA">
        <w:rPr>
          <w:i/>
          <w:iCs/>
          <w:sz w:val="20"/>
          <w:szCs w:val="20"/>
        </w:rPr>
        <w:t>ibid</w:t>
      </w:r>
      <w:r>
        <w:rPr>
          <w:i/>
          <w:iCs/>
          <w:sz w:val="20"/>
          <w:szCs w:val="20"/>
        </w:rPr>
        <w:t xml:space="preserve"> </w:t>
      </w:r>
      <w:r>
        <w:rPr>
          <w:iCs/>
          <w:sz w:val="20"/>
          <w:szCs w:val="20"/>
        </w:rPr>
        <w:t xml:space="preserve">at 6-10; Martha Jackman &amp; Bruce Porter, “Social and Economic Rights” in Peter Oliver, Patrick Macklem &amp; Nathalie DesRosiers, eds, </w:t>
      </w:r>
      <w:r w:rsidRPr="00B356AA">
        <w:rPr>
          <w:i/>
          <w:iCs/>
          <w:sz w:val="20"/>
          <w:szCs w:val="20"/>
        </w:rPr>
        <w:t>The Oxford Handbook of the Canadian Constitution</w:t>
      </w:r>
      <w:r>
        <w:rPr>
          <w:iCs/>
          <w:sz w:val="20"/>
          <w:szCs w:val="20"/>
        </w:rPr>
        <w:t xml:space="preserve"> (New York: Oxford University Press, 2017) 843 [Oliver, </w:t>
      </w:r>
      <w:r w:rsidRPr="00B356AA">
        <w:rPr>
          <w:i/>
          <w:iCs/>
          <w:sz w:val="20"/>
          <w:szCs w:val="20"/>
        </w:rPr>
        <w:t>Oxford Handbook</w:t>
      </w:r>
      <w:r>
        <w:rPr>
          <w:iCs/>
          <w:sz w:val="20"/>
          <w:szCs w:val="20"/>
        </w:rPr>
        <w:t xml:space="preserve">]; </w:t>
      </w:r>
      <w:r w:rsidRPr="00142D80">
        <w:rPr>
          <w:iCs/>
          <w:sz w:val="20"/>
          <w:szCs w:val="20"/>
        </w:rPr>
        <w:t>Bruce Porter, “Expectations of Equality” (2006) 33 Sup Ct L Rev 23 [Porter, “Expectations of Equality”]</w:t>
      </w:r>
      <w:r>
        <w:rPr>
          <w:iCs/>
          <w:sz w:val="20"/>
          <w:szCs w:val="20"/>
        </w:rPr>
        <w:t>.</w:t>
      </w:r>
    </w:p>
  </w:footnote>
  <w:footnote w:id="76">
    <w:p w:rsidR="00B356AA" w:rsidRPr="005F3A9B" w:rsidRDefault="00B356AA" w:rsidP="005F3A9B">
      <w:pPr>
        <w:spacing w:after="0"/>
        <w:rPr>
          <w:sz w:val="20"/>
          <w:szCs w:val="20"/>
        </w:rPr>
      </w:pPr>
      <w:r w:rsidRPr="005F3A9B">
        <w:rPr>
          <w:rStyle w:val="Appelnotedebasdep"/>
          <w:sz w:val="20"/>
          <w:szCs w:val="20"/>
          <w:vertAlign w:val="superscript"/>
        </w:rPr>
        <w:footnoteRef/>
      </w:r>
      <w:r>
        <w:rPr>
          <w:sz w:val="20"/>
          <w:szCs w:val="20"/>
        </w:rPr>
        <w:t>SC 1960, c</w:t>
      </w:r>
      <w:r w:rsidRPr="00F828CA">
        <w:rPr>
          <w:sz w:val="20"/>
          <w:szCs w:val="20"/>
        </w:rPr>
        <w:t xml:space="preserve"> 44</w:t>
      </w:r>
      <w:r>
        <w:rPr>
          <w:sz w:val="20"/>
          <w:szCs w:val="20"/>
        </w:rPr>
        <w:t>.</w:t>
      </w:r>
    </w:p>
  </w:footnote>
  <w:footnote w:id="77">
    <w:p w:rsidR="00B356AA" w:rsidRPr="005F3A9B" w:rsidRDefault="00B356AA" w:rsidP="005F3A9B">
      <w:pPr>
        <w:spacing w:after="0"/>
        <w:rPr>
          <w:sz w:val="20"/>
          <w:szCs w:val="20"/>
        </w:rPr>
      </w:pPr>
      <w:r w:rsidRPr="005F3A9B">
        <w:rPr>
          <w:rStyle w:val="Appelnotedebasdep"/>
          <w:sz w:val="20"/>
          <w:szCs w:val="20"/>
          <w:vertAlign w:val="superscript"/>
        </w:rPr>
        <w:footnoteRef/>
      </w:r>
      <w:r>
        <w:rPr>
          <w:iCs/>
          <w:sz w:val="20"/>
          <w:szCs w:val="20"/>
        </w:rPr>
        <w:t xml:space="preserve">See </w:t>
      </w:r>
      <w:bookmarkStart w:id="6" w:name="_Hlk521948000"/>
      <w:r w:rsidRPr="005F3A9B">
        <w:rPr>
          <w:iCs/>
          <w:sz w:val="20"/>
          <w:szCs w:val="20"/>
        </w:rPr>
        <w:t xml:space="preserve">Kerri </w:t>
      </w:r>
      <w:r>
        <w:rPr>
          <w:iCs/>
          <w:sz w:val="20"/>
          <w:szCs w:val="20"/>
        </w:rPr>
        <w:t xml:space="preserve">A. </w:t>
      </w:r>
      <w:r w:rsidRPr="005F3A9B">
        <w:rPr>
          <w:iCs/>
          <w:sz w:val="20"/>
          <w:szCs w:val="20"/>
        </w:rPr>
        <w:t>Froc, “A Prayer for Original Meaning</w:t>
      </w:r>
      <w:r>
        <w:rPr>
          <w:iCs/>
          <w:sz w:val="20"/>
          <w:szCs w:val="20"/>
        </w:rPr>
        <w:t xml:space="preserve">: A History of Section 15 and What it Should Mean for Equality” (2018) 38 </w:t>
      </w:r>
      <w:r w:rsidRPr="0008471F">
        <w:rPr>
          <w:iCs/>
          <w:sz w:val="20"/>
          <w:szCs w:val="20"/>
        </w:rPr>
        <w:t xml:space="preserve">NJCL </w:t>
      </w:r>
      <w:r>
        <w:rPr>
          <w:iCs/>
          <w:sz w:val="20"/>
          <w:szCs w:val="20"/>
        </w:rPr>
        <w:t xml:space="preserve">35 </w:t>
      </w:r>
      <w:bookmarkEnd w:id="6"/>
      <w:r>
        <w:rPr>
          <w:iCs/>
          <w:sz w:val="20"/>
          <w:szCs w:val="20"/>
        </w:rPr>
        <w:t xml:space="preserve">[Froc, “Original Meaning”] Bruce Porter, “Expectations of Equality”, </w:t>
      </w:r>
      <w:r w:rsidRPr="007A32E3">
        <w:rPr>
          <w:i/>
          <w:iCs/>
          <w:sz w:val="20"/>
          <w:szCs w:val="20"/>
        </w:rPr>
        <w:t>supra</w:t>
      </w:r>
      <w:r>
        <w:rPr>
          <w:iCs/>
          <w:sz w:val="20"/>
          <w:szCs w:val="20"/>
        </w:rPr>
        <w:t xml:space="preserve"> note 75.</w:t>
      </w:r>
    </w:p>
  </w:footnote>
  <w:footnote w:id="78">
    <w:p w:rsidR="00B356AA" w:rsidRPr="00F828CA" w:rsidRDefault="00B356AA" w:rsidP="005F3A9B">
      <w:pPr>
        <w:spacing w:after="0"/>
        <w:rPr>
          <w:sz w:val="20"/>
          <w:szCs w:val="20"/>
        </w:rPr>
      </w:pPr>
      <w:r w:rsidRPr="005F3A9B">
        <w:rPr>
          <w:rStyle w:val="Appelnotedebasdep"/>
          <w:sz w:val="20"/>
          <w:szCs w:val="20"/>
          <w:vertAlign w:val="superscript"/>
        </w:rPr>
        <w:footnoteRef/>
      </w:r>
      <w:r w:rsidRPr="00F828CA">
        <w:rPr>
          <w:iCs/>
          <w:sz w:val="20"/>
          <w:szCs w:val="20"/>
        </w:rPr>
        <w:t xml:space="preserve">Francine Fournier, “Égalité et droits à l’égalité” in Lynn Smith et al eds, </w:t>
      </w:r>
      <w:r w:rsidRPr="00445E92">
        <w:rPr>
          <w:i/>
          <w:iCs/>
          <w:sz w:val="20"/>
          <w:szCs w:val="20"/>
        </w:rPr>
        <w:t>Righting the Balance: Canada’s New Equality Rights</w:t>
      </w:r>
      <w:r w:rsidRPr="00F828CA">
        <w:rPr>
          <w:iCs/>
          <w:sz w:val="20"/>
          <w:szCs w:val="20"/>
        </w:rPr>
        <w:t xml:space="preserve"> (Saskatoon: The Canadian Human Rights Reporter, 1986)</w:t>
      </w:r>
      <w:r>
        <w:rPr>
          <w:iCs/>
          <w:sz w:val="20"/>
          <w:szCs w:val="20"/>
        </w:rPr>
        <w:t xml:space="preserve"> [Smith, “Righting the Balance”] </w:t>
      </w:r>
      <w:r w:rsidRPr="00F828CA">
        <w:rPr>
          <w:iCs/>
          <w:sz w:val="20"/>
          <w:szCs w:val="20"/>
        </w:rPr>
        <w:t>25 at 36.</w:t>
      </w:r>
    </w:p>
  </w:footnote>
  <w:footnote w:id="79">
    <w:p w:rsidR="00B356AA" w:rsidRPr="005F3A9B" w:rsidRDefault="00B356AA" w:rsidP="005F3A9B">
      <w:pPr>
        <w:spacing w:after="0"/>
        <w:rPr>
          <w:iCs/>
          <w:sz w:val="20"/>
          <w:szCs w:val="20"/>
        </w:rPr>
      </w:pPr>
      <w:r w:rsidRPr="005F3A9B">
        <w:rPr>
          <w:rStyle w:val="Appelnotedebasdep"/>
          <w:sz w:val="20"/>
          <w:szCs w:val="20"/>
          <w:vertAlign w:val="superscript"/>
        </w:rPr>
        <w:footnoteRef/>
      </w:r>
      <w:r w:rsidR="007D2025" w:rsidRPr="007D2025">
        <w:rPr>
          <w:iCs/>
          <w:sz w:val="20"/>
          <w:szCs w:val="20"/>
        </w:rPr>
        <w:t xml:space="preserve">Mary Eberts, “The Fight for Substantive Equality: Women’s Activism and Section 15 of the </w:t>
      </w:r>
      <w:r w:rsidR="007D2025" w:rsidRPr="007D2025">
        <w:rPr>
          <w:i/>
          <w:iCs/>
          <w:sz w:val="20"/>
          <w:szCs w:val="20"/>
        </w:rPr>
        <w:t>Canadian Charter of Rights and Freedoms</w:t>
      </w:r>
      <w:r w:rsidR="007D2025" w:rsidRPr="007D2025">
        <w:rPr>
          <w:iCs/>
          <w:sz w:val="20"/>
          <w:szCs w:val="20"/>
        </w:rPr>
        <w:t>” (2015/2016) 37:2 Atlantis: Critical Studies in Gender, Culture &amp; Social Justice 100</w:t>
      </w:r>
      <w:r w:rsidR="007D2025">
        <w:rPr>
          <w:iCs/>
          <w:sz w:val="20"/>
          <w:szCs w:val="20"/>
        </w:rPr>
        <w:t xml:space="preserve"> at 104; </w:t>
      </w:r>
      <w:r w:rsidRPr="005F3A9B">
        <w:rPr>
          <w:iCs/>
          <w:sz w:val="20"/>
          <w:szCs w:val="20"/>
        </w:rPr>
        <w:t xml:space="preserve">Audrey Doerr &amp; Micheline Carrier, eds, </w:t>
      </w:r>
      <w:r w:rsidRPr="005F3A9B">
        <w:rPr>
          <w:i/>
          <w:iCs/>
          <w:sz w:val="20"/>
          <w:szCs w:val="20"/>
        </w:rPr>
        <w:t>Women and the Constitution in Canada</w:t>
      </w:r>
      <w:r w:rsidRPr="005F3A9B">
        <w:rPr>
          <w:iCs/>
          <w:sz w:val="20"/>
          <w:szCs w:val="20"/>
        </w:rPr>
        <w:t xml:space="preserve"> (Ottawa: Canadian Advisory Council on the Status of Women, 1981); Anne F. Bayefsky &amp; Mary Eberts, eds, </w:t>
      </w:r>
      <w:r w:rsidRPr="005F3A9B">
        <w:rPr>
          <w:i/>
          <w:iCs/>
          <w:sz w:val="20"/>
          <w:szCs w:val="20"/>
        </w:rPr>
        <w:t>Equality Rights and the Canadian Charter of Rights and Freedoms</w:t>
      </w:r>
      <w:r>
        <w:rPr>
          <w:iCs/>
          <w:sz w:val="20"/>
          <w:szCs w:val="20"/>
        </w:rPr>
        <w:t xml:space="preserve"> (Toronto: Carswell, 1985)</w:t>
      </w:r>
      <w:r w:rsidRPr="005F3A9B">
        <w:rPr>
          <w:iCs/>
          <w:sz w:val="20"/>
          <w:szCs w:val="20"/>
        </w:rPr>
        <w:t>; Lynn Smith, “A New Paradigm for Equality Rights” in</w:t>
      </w:r>
      <w:r>
        <w:rPr>
          <w:iCs/>
          <w:sz w:val="20"/>
          <w:szCs w:val="20"/>
        </w:rPr>
        <w:t xml:space="preserve"> Smith</w:t>
      </w:r>
      <w:r w:rsidRPr="005F3A9B">
        <w:rPr>
          <w:iCs/>
          <w:sz w:val="20"/>
          <w:szCs w:val="20"/>
        </w:rPr>
        <w:t xml:space="preserve">, </w:t>
      </w:r>
      <w:r>
        <w:rPr>
          <w:i/>
          <w:iCs/>
          <w:sz w:val="20"/>
          <w:szCs w:val="20"/>
        </w:rPr>
        <w:t>Righting the Balance</w:t>
      </w:r>
      <w:r>
        <w:rPr>
          <w:iCs/>
          <w:sz w:val="20"/>
          <w:szCs w:val="20"/>
        </w:rPr>
        <w:t xml:space="preserve">, </w:t>
      </w:r>
      <w:r w:rsidRPr="006046FE">
        <w:rPr>
          <w:i/>
          <w:iCs/>
          <w:sz w:val="20"/>
          <w:szCs w:val="20"/>
        </w:rPr>
        <w:t>ibid</w:t>
      </w:r>
      <w:r>
        <w:rPr>
          <w:i/>
          <w:iCs/>
          <w:sz w:val="20"/>
          <w:szCs w:val="20"/>
        </w:rPr>
        <w:t xml:space="preserve"> </w:t>
      </w:r>
      <w:r>
        <w:rPr>
          <w:iCs/>
          <w:sz w:val="20"/>
          <w:szCs w:val="20"/>
        </w:rPr>
        <w:t xml:space="preserve">353; The Charter of Rights Educational Fund, </w:t>
      </w:r>
      <w:r w:rsidRPr="002246C4">
        <w:rPr>
          <w:i/>
          <w:iCs/>
          <w:sz w:val="20"/>
          <w:szCs w:val="20"/>
        </w:rPr>
        <w:t>The Study Day Papers</w:t>
      </w:r>
      <w:r>
        <w:rPr>
          <w:iCs/>
          <w:sz w:val="20"/>
          <w:szCs w:val="20"/>
        </w:rPr>
        <w:t xml:space="preserve"> (Toronto: Charter of Rights Educational Fund, 1985); Sheilah L Martin &amp; Kathleen E Mahoney, eds, </w:t>
      </w:r>
      <w:r w:rsidRPr="00557920">
        <w:rPr>
          <w:i/>
          <w:iCs/>
          <w:sz w:val="20"/>
          <w:szCs w:val="20"/>
        </w:rPr>
        <w:t xml:space="preserve">Equality and </w:t>
      </w:r>
      <w:r>
        <w:rPr>
          <w:i/>
          <w:iCs/>
          <w:sz w:val="20"/>
          <w:szCs w:val="20"/>
        </w:rPr>
        <w:t>J</w:t>
      </w:r>
      <w:r w:rsidRPr="00557920">
        <w:rPr>
          <w:i/>
          <w:iCs/>
          <w:sz w:val="20"/>
          <w:szCs w:val="20"/>
        </w:rPr>
        <w:t xml:space="preserve">udicial </w:t>
      </w:r>
      <w:r>
        <w:rPr>
          <w:i/>
          <w:iCs/>
          <w:sz w:val="20"/>
          <w:szCs w:val="20"/>
        </w:rPr>
        <w:t>N</w:t>
      </w:r>
      <w:r w:rsidRPr="00557920">
        <w:rPr>
          <w:i/>
          <w:iCs/>
          <w:sz w:val="20"/>
          <w:szCs w:val="20"/>
        </w:rPr>
        <w:t>eutrality</w:t>
      </w:r>
      <w:r w:rsidRPr="00557920">
        <w:rPr>
          <w:iCs/>
          <w:sz w:val="20"/>
          <w:szCs w:val="20"/>
        </w:rPr>
        <w:t xml:space="preserve"> </w:t>
      </w:r>
      <w:r>
        <w:rPr>
          <w:iCs/>
          <w:sz w:val="20"/>
          <w:szCs w:val="20"/>
        </w:rPr>
        <w:t>(</w:t>
      </w:r>
      <w:r w:rsidRPr="00557920">
        <w:rPr>
          <w:iCs/>
          <w:sz w:val="20"/>
          <w:szCs w:val="20"/>
        </w:rPr>
        <w:t>Toronto : Carswell, 1987</w:t>
      </w:r>
      <w:r>
        <w:rPr>
          <w:iCs/>
          <w:sz w:val="20"/>
          <w:szCs w:val="20"/>
        </w:rPr>
        <w:t xml:space="preserve">); Gwen Brodsky &amp; Shelagh Day, </w:t>
      </w:r>
      <w:r w:rsidRPr="00254432">
        <w:rPr>
          <w:i/>
          <w:iCs/>
          <w:sz w:val="20"/>
          <w:szCs w:val="20"/>
        </w:rPr>
        <w:t>Canadian Charter Equality Rights for Wo</w:t>
      </w:r>
      <w:r>
        <w:rPr>
          <w:i/>
          <w:iCs/>
          <w:sz w:val="20"/>
          <w:szCs w:val="20"/>
        </w:rPr>
        <w:t>men: One Step Forward o</w:t>
      </w:r>
      <w:r w:rsidRPr="00254432">
        <w:rPr>
          <w:i/>
          <w:iCs/>
          <w:sz w:val="20"/>
          <w:szCs w:val="20"/>
        </w:rPr>
        <w:t>r Two Steps Back?</w:t>
      </w:r>
      <w:r>
        <w:rPr>
          <w:iCs/>
          <w:sz w:val="20"/>
          <w:szCs w:val="20"/>
        </w:rPr>
        <w:t xml:space="preserve"> (Ottawa: Canadian Advisory Council on the Status of Women, 1989); </w:t>
      </w:r>
      <w:r w:rsidR="00B75C33" w:rsidRPr="00B75C33">
        <w:rPr>
          <w:iCs/>
          <w:sz w:val="20"/>
          <w:szCs w:val="20"/>
        </w:rPr>
        <w:t xml:space="preserve">Marilou McPhedran, </w:t>
      </w:r>
      <w:r w:rsidR="00B75C33">
        <w:rPr>
          <w:iCs/>
          <w:sz w:val="20"/>
          <w:szCs w:val="20"/>
        </w:rPr>
        <w:t>Judith Erola &amp; Loren Braul,</w:t>
      </w:r>
      <w:r w:rsidR="00B75C33" w:rsidRPr="00B75C33">
        <w:rPr>
          <w:iCs/>
          <w:sz w:val="20"/>
          <w:szCs w:val="20"/>
        </w:rPr>
        <w:t xml:space="preserve"> </w:t>
      </w:r>
      <w:r w:rsidR="00B75C33">
        <w:rPr>
          <w:iCs/>
          <w:sz w:val="20"/>
          <w:szCs w:val="20"/>
        </w:rPr>
        <w:t>“‘</w:t>
      </w:r>
      <w:r w:rsidR="00B75C33" w:rsidRPr="00B75C33">
        <w:rPr>
          <w:iCs/>
          <w:sz w:val="20"/>
          <w:szCs w:val="20"/>
        </w:rPr>
        <w:t>28 - Helluva Lot to Lose in 27 Days</w:t>
      </w:r>
      <w:r w:rsidR="00B75C33">
        <w:rPr>
          <w:iCs/>
          <w:sz w:val="20"/>
          <w:szCs w:val="20"/>
        </w:rPr>
        <w:t>’</w:t>
      </w:r>
      <w:r w:rsidR="00B75C33" w:rsidRPr="00B75C33">
        <w:rPr>
          <w:iCs/>
          <w:sz w:val="20"/>
          <w:szCs w:val="20"/>
        </w:rPr>
        <w:t>: The Ad Hoc Committee and Women's Constitutional Activism in the Era of Patriation</w:t>
      </w:r>
      <w:r w:rsidR="00B75C33">
        <w:rPr>
          <w:iCs/>
          <w:sz w:val="20"/>
          <w:szCs w:val="20"/>
        </w:rPr>
        <w:t>”</w:t>
      </w:r>
      <w:r w:rsidR="00B75C33" w:rsidRPr="00B75C33">
        <w:rPr>
          <w:iCs/>
          <w:sz w:val="20"/>
          <w:szCs w:val="20"/>
        </w:rPr>
        <w:t xml:space="preserve"> in </w:t>
      </w:r>
      <w:r w:rsidR="00B75C33">
        <w:rPr>
          <w:iCs/>
          <w:sz w:val="20"/>
          <w:szCs w:val="20"/>
        </w:rPr>
        <w:t xml:space="preserve">Lois Harder &amp; Steve Patten, eds, </w:t>
      </w:r>
      <w:r w:rsidR="00B75C33" w:rsidRPr="00B75C33">
        <w:rPr>
          <w:i/>
          <w:iCs/>
          <w:sz w:val="20"/>
          <w:szCs w:val="20"/>
        </w:rPr>
        <w:t>Patriation and Its Consequences Constitution Making in Canada</w:t>
      </w:r>
      <w:r w:rsidR="00B75C33" w:rsidRPr="00B75C33">
        <w:rPr>
          <w:iCs/>
          <w:sz w:val="20"/>
          <w:szCs w:val="20"/>
        </w:rPr>
        <w:t xml:space="preserve"> </w:t>
      </w:r>
      <w:r w:rsidR="00B75C33">
        <w:rPr>
          <w:iCs/>
          <w:sz w:val="20"/>
          <w:szCs w:val="20"/>
        </w:rPr>
        <w:t xml:space="preserve">(Vancouver: UBC Press, 2015) 203; </w:t>
      </w:r>
      <w:r>
        <w:rPr>
          <w:iCs/>
          <w:sz w:val="20"/>
          <w:szCs w:val="20"/>
        </w:rPr>
        <w:t xml:space="preserve">and see generally Froc, “Original Meaning”, </w:t>
      </w:r>
      <w:r>
        <w:rPr>
          <w:i/>
          <w:iCs/>
          <w:sz w:val="20"/>
          <w:szCs w:val="20"/>
        </w:rPr>
        <w:t>ibid</w:t>
      </w:r>
      <w:r>
        <w:rPr>
          <w:iCs/>
          <w:sz w:val="20"/>
          <w:szCs w:val="20"/>
        </w:rPr>
        <w:t xml:space="preserve">; Beverley Baines &amp; Ruth Rubio-Marin, “Feminist Constitutionalism in Canada in Oliver, </w:t>
      </w:r>
      <w:r w:rsidRPr="00B356AA">
        <w:rPr>
          <w:i/>
          <w:iCs/>
          <w:sz w:val="20"/>
          <w:szCs w:val="20"/>
        </w:rPr>
        <w:t>Oxford Handbook</w:t>
      </w:r>
      <w:r>
        <w:rPr>
          <w:iCs/>
          <w:sz w:val="20"/>
          <w:szCs w:val="20"/>
        </w:rPr>
        <w:t xml:space="preserve">, supra note </w:t>
      </w:r>
      <w:r w:rsidR="00AC7C44">
        <w:rPr>
          <w:iCs/>
          <w:sz w:val="20"/>
          <w:szCs w:val="20"/>
        </w:rPr>
        <w:t xml:space="preserve">75 </w:t>
      </w:r>
      <w:r>
        <w:rPr>
          <w:iCs/>
          <w:sz w:val="20"/>
          <w:szCs w:val="20"/>
        </w:rPr>
        <w:t>at 965</w:t>
      </w:r>
      <w:r w:rsidR="00AC7C44">
        <w:rPr>
          <w:iCs/>
          <w:sz w:val="20"/>
          <w:szCs w:val="20"/>
        </w:rPr>
        <w:t xml:space="preserve">; </w:t>
      </w:r>
      <w:r>
        <w:rPr>
          <w:iCs/>
          <w:sz w:val="20"/>
          <w:szCs w:val="20"/>
        </w:rPr>
        <w:t xml:space="preserve">Porter, “Expectations of Equality”, </w:t>
      </w:r>
      <w:r>
        <w:rPr>
          <w:i/>
          <w:iCs/>
          <w:sz w:val="20"/>
          <w:szCs w:val="20"/>
        </w:rPr>
        <w:t>ibid.</w:t>
      </w:r>
    </w:p>
  </w:footnote>
  <w:footnote w:id="8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 xml:space="preserve">Roderick A. Macdonald, “Postscript and Prelude – The Jurisprudence of the </w:t>
      </w:r>
      <w:r w:rsidRPr="005F3A9B">
        <w:rPr>
          <w:i/>
          <w:iCs/>
          <w:sz w:val="20"/>
          <w:szCs w:val="20"/>
        </w:rPr>
        <w:t>Charter</w:t>
      </w:r>
      <w:r>
        <w:rPr>
          <w:iCs/>
          <w:sz w:val="20"/>
          <w:szCs w:val="20"/>
        </w:rPr>
        <w:t>: Eight Theses” (1982) 4 Sup</w:t>
      </w:r>
      <w:r w:rsidRPr="005F3A9B">
        <w:rPr>
          <w:iCs/>
          <w:sz w:val="20"/>
          <w:szCs w:val="20"/>
        </w:rPr>
        <w:t xml:space="preserve"> Ct L. Rev. 321</w:t>
      </w:r>
      <w:r>
        <w:rPr>
          <w:iCs/>
          <w:sz w:val="20"/>
          <w:szCs w:val="20"/>
        </w:rPr>
        <w:t xml:space="preserve"> [Macdonald, “The Jurisprudence of the </w:t>
      </w:r>
      <w:r w:rsidRPr="006046FE">
        <w:rPr>
          <w:i/>
          <w:iCs/>
          <w:sz w:val="20"/>
          <w:szCs w:val="20"/>
        </w:rPr>
        <w:t>Charter</w:t>
      </w:r>
      <w:r>
        <w:rPr>
          <w:iCs/>
          <w:sz w:val="20"/>
          <w:szCs w:val="20"/>
        </w:rPr>
        <w:t>”]</w:t>
      </w:r>
      <w:r w:rsidRPr="005F3A9B">
        <w:rPr>
          <w:iCs/>
          <w:sz w:val="20"/>
          <w:szCs w:val="20"/>
        </w:rPr>
        <w:t>.</w:t>
      </w:r>
    </w:p>
  </w:footnote>
  <w:footnote w:id="8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sz w:val="20"/>
          <w:szCs w:val="20"/>
        </w:rPr>
        <w:t>As Scott himself</w:t>
      </w:r>
      <w:r>
        <w:rPr>
          <w:sz w:val="20"/>
          <w:szCs w:val="20"/>
        </w:rPr>
        <w:t xml:space="preserve"> argued</w:t>
      </w:r>
      <w:r w:rsidRPr="005F3A9B">
        <w:rPr>
          <w:sz w:val="20"/>
          <w:szCs w:val="20"/>
        </w:rPr>
        <w:t>: “to allow the still unresolved problems of our economic system to deprive [people of …essentials to the good life] without taking steps to alleviate the deprivations, is to take away human rights.”;</w:t>
      </w:r>
      <w:r w:rsidRPr="005F3A9B">
        <w:rPr>
          <w:iCs/>
          <w:sz w:val="20"/>
          <w:szCs w:val="20"/>
        </w:rPr>
        <w:t xml:space="preserve"> Frank R. Scott, “Expanding Concepts of Human Rights” in </w:t>
      </w:r>
      <w:r w:rsidRPr="005F3A9B">
        <w:rPr>
          <w:i/>
          <w:iCs/>
          <w:sz w:val="20"/>
          <w:szCs w:val="20"/>
        </w:rPr>
        <w:t>Essays on the Constitution</w:t>
      </w:r>
      <w:r w:rsidRPr="005F3A9B">
        <w:rPr>
          <w:iCs/>
          <w:sz w:val="20"/>
          <w:szCs w:val="20"/>
        </w:rPr>
        <w:t xml:space="preserve"> (Toronto: University of Toronto Press, 1977) 353 at 357</w:t>
      </w:r>
      <w:r w:rsidRPr="005F3A9B">
        <w:rPr>
          <w:sz w:val="20"/>
          <w:szCs w:val="20"/>
        </w:rPr>
        <w:t xml:space="preserve">.  </w:t>
      </w:r>
    </w:p>
  </w:footnote>
  <w:footnote w:id="82">
    <w:p w:rsidR="00B356AA" w:rsidRPr="005F3A9B" w:rsidRDefault="00B356AA" w:rsidP="005F3A9B">
      <w:pPr>
        <w:spacing w:after="0"/>
        <w:rPr>
          <w:sz w:val="20"/>
          <w:szCs w:val="20"/>
        </w:rPr>
      </w:pPr>
      <w:r w:rsidRPr="005F3A9B">
        <w:rPr>
          <w:rStyle w:val="Appelnotedebasdep"/>
          <w:sz w:val="20"/>
          <w:szCs w:val="20"/>
          <w:vertAlign w:val="superscript"/>
        </w:rPr>
        <w:footnoteRef/>
      </w:r>
      <w:r>
        <w:rPr>
          <w:iCs/>
          <w:sz w:val="20"/>
          <w:szCs w:val="20"/>
        </w:rPr>
        <w:t xml:space="preserve">Macdonald, “The Jurisprudence of the </w:t>
      </w:r>
      <w:r w:rsidRPr="006046FE">
        <w:rPr>
          <w:i/>
          <w:iCs/>
          <w:sz w:val="20"/>
          <w:szCs w:val="20"/>
        </w:rPr>
        <w:t>Charter</w:t>
      </w:r>
      <w:r w:rsidRPr="005F3A9B">
        <w:rPr>
          <w:iCs/>
          <w:sz w:val="20"/>
          <w:szCs w:val="20"/>
        </w:rPr>
        <w:t xml:space="preserve">” </w:t>
      </w:r>
      <w:r w:rsidRPr="005F3A9B">
        <w:rPr>
          <w:i/>
          <w:iCs/>
          <w:sz w:val="20"/>
          <w:szCs w:val="20"/>
        </w:rPr>
        <w:t>supra</w:t>
      </w:r>
      <w:r w:rsidRPr="005F3A9B">
        <w:rPr>
          <w:iCs/>
          <w:sz w:val="20"/>
          <w:szCs w:val="20"/>
        </w:rPr>
        <w:t xml:space="preserve"> note </w:t>
      </w:r>
      <w:r>
        <w:rPr>
          <w:iCs/>
          <w:sz w:val="20"/>
          <w:szCs w:val="20"/>
        </w:rPr>
        <w:t>80</w:t>
      </w:r>
      <w:r w:rsidRPr="005F3A9B">
        <w:rPr>
          <w:iCs/>
          <w:sz w:val="20"/>
          <w:szCs w:val="20"/>
        </w:rPr>
        <w:t xml:space="preserve"> at 344.</w:t>
      </w:r>
    </w:p>
  </w:footnote>
  <w:footnote w:id="8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 xml:space="preserve">John Whyte, “Fundamental Justice: The Scope and Application of Section 7 of the </w:t>
      </w:r>
      <w:r w:rsidRPr="00BE60C9">
        <w:rPr>
          <w:i/>
          <w:iCs/>
          <w:sz w:val="20"/>
          <w:szCs w:val="20"/>
        </w:rPr>
        <w:t>Charter</w:t>
      </w:r>
      <w:r w:rsidRPr="005F3A9B">
        <w:rPr>
          <w:iCs/>
          <w:sz w:val="20"/>
          <w:szCs w:val="20"/>
        </w:rPr>
        <w:t>” (1983) 13 Manitoba LJ 455</w:t>
      </w:r>
      <w:r>
        <w:rPr>
          <w:iCs/>
          <w:sz w:val="20"/>
          <w:szCs w:val="20"/>
        </w:rPr>
        <w:t xml:space="preserve"> [Whyte “Fundamental Justice”]</w:t>
      </w:r>
      <w:r w:rsidRPr="005F3A9B">
        <w:rPr>
          <w:sz w:val="20"/>
          <w:szCs w:val="20"/>
        </w:rPr>
        <w:t>.</w:t>
      </w:r>
    </w:p>
  </w:footnote>
  <w:footnote w:id="8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976130">
        <w:rPr>
          <w:iCs/>
          <w:sz w:val="20"/>
          <w:szCs w:val="20"/>
        </w:rPr>
        <w:t>at</w:t>
      </w:r>
      <w:r w:rsidRPr="005F3A9B">
        <w:rPr>
          <w:iCs/>
          <w:sz w:val="20"/>
          <w:szCs w:val="20"/>
        </w:rPr>
        <w:t xml:space="preserve"> 28.</w:t>
      </w:r>
    </w:p>
  </w:footnote>
  <w:footnote w:id="85">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976130">
        <w:rPr>
          <w:iCs/>
          <w:sz w:val="20"/>
          <w:szCs w:val="20"/>
        </w:rPr>
        <w:t>at</w:t>
      </w:r>
      <w:r w:rsidRPr="005F3A9B">
        <w:rPr>
          <w:iCs/>
          <w:sz w:val="20"/>
          <w:szCs w:val="20"/>
        </w:rPr>
        <w:t xml:space="preserve"> 40.</w:t>
      </w:r>
    </w:p>
  </w:footnote>
  <w:footnote w:id="86">
    <w:p w:rsidR="00B356AA" w:rsidRPr="005F3A9B" w:rsidRDefault="00B356AA" w:rsidP="00254432">
      <w:pPr>
        <w:spacing w:after="0"/>
        <w:rPr>
          <w:sz w:val="20"/>
          <w:szCs w:val="20"/>
        </w:rPr>
      </w:pPr>
      <w:r w:rsidRPr="005F3A9B">
        <w:rPr>
          <w:rStyle w:val="Appelnotedebasdep"/>
          <w:sz w:val="20"/>
          <w:szCs w:val="20"/>
          <w:vertAlign w:val="superscript"/>
        </w:rPr>
        <w:footnoteRef/>
      </w:r>
      <w:r w:rsidRPr="005F3A9B">
        <w:rPr>
          <w:iCs/>
          <w:sz w:val="20"/>
          <w:szCs w:val="20"/>
        </w:rPr>
        <w:t xml:space="preserve"> Peter Hogg, </w:t>
      </w:r>
      <w:r w:rsidRPr="005F3A9B">
        <w:rPr>
          <w:i/>
          <w:iCs/>
          <w:sz w:val="20"/>
          <w:szCs w:val="20"/>
        </w:rPr>
        <w:t>Constitutional Law of Canada</w:t>
      </w:r>
      <w:r w:rsidRPr="005F3A9B">
        <w:rPr>
          <w:iCs/>
          <w:sz w:val="20"/>
          <w:szCs w:val="20"/>
        </w:rPr>
        <w:t>, 2</w:t>
      </w:r>
      <w:r w:rsidRPr="005F3A9B">
        <w:rPr>
          <w:iCs/>
          <w:sz w:val="20"/>
          <w:szCs w:val="20"/>
          <w:vertAlign w:val="superscript"/>
        </w:rPr>
        <w:t>nd</w:t>
      </w:r>
      <w:r w:rsidRPr="005F3A9B">
        <w:rPr>
          <w:iCs/>
          <w:sz w:val="20"/>
          <w:szCs w:val="20"/>
        </w:rPr>
        <w:t xml:space="preserve"> ed (T</w:t>
      </w:r>
      <w:r>
        <w:rPr>
          <w:iCs/>
          <w:sz w:val="20"/>
          <w:szCs w:val="20"/>
        </w:rPr>
        <w:t xml:space="preserve">oronto: Carswell, 1985) at 44.5 [Hogg, </w:t>
      </w:r>
      <w:r w:rsidRPr="00254432">
        <w:rPr>
          <w:i/>
          <w:iCs/>
          <w:sz w:val="20"/>
          <w:szCs w:val="20"/>
        </w:rPr>
        <w:t>Constitutional Law</w:t>
      </w:r>
      <w:r>
        <w:rPr>
          <w:iCs/>
          <w:sz w:val="20"/>
          <w:szCs w:val="20"/>
        </w:rPr>
        <w:t>].</w:t>
      </w:r>
    </w:p>
  </w:footnote>
  <w:footnote w:id="87">
    <w:p w:rsidR="00B356AA" w:rsidRPr="00313A41" w:rsidRDefault="00B356AA" w:rsidP="00313A41">
      <w:pPr>
        <w:spacing w:after="0"/>
        <w:rPr>
          <w:iCs/>
          <w:sz w:val="20"/>
          <w:szCs w:val="20"/>
        </w:rPr>
      </w:pPr>
      <w:r w:rsidRPr="005F3A9B">
        <w:rPr>
          <w:rStyle w:val="Appelnotedebasdep"/>
          <w:sz w:val="20"/>
          <w:szCs w:val="20"/>
          <w:vertAlign w:val="superscript"/>
        </w:rPr>
        <w:footnoteRef/>
      </w:r>
      <w:r w:rsidRPr="005F3A9B">
        <w:rPr>
          <w:iCs/>
          <w:sz w:val="20"/>
          <w:szCs w:val="20"/>
        </w:rPr>
        <w:t xml:space="preserve"> See for example </w:t>
      </w:r>
      <w:r w:rsidRPr="005F3A9B">
        <w:rPr>
          <w:i/>
          <w:iCs/>
          <w:sz w:val="20"/>
          <w:szCs w:val="20"/>
        </w:rPr>
        <w:t>Masse v Ontario (Ministry of Community and Social Services)</w:t>
      </w:r>
      <w:r w:rsidRPr="005F3A9B">
        <w:rPr>
          <w:iCs/>
          <w:sz w:val="20"/>
          <w:szCs w:val="20"/>
        </w:rPr>
        <w:t xml:space="preserve"> 1996, 134 DLR (4</w:t>
      </w:r>
      <w:r w:rsidRPr="005F3A9B">
        <w:rPr>
          <w:iCs/>
          <w:sz w:val="20"/>
          <w:szCs w:val="20"/>
          <w:vertAlign w:val="superscript"/>
        </w:rPr>
        <w:t>th</w:t>
      </w:r>
      <w:r w:rsidRPr="005F3A9B">
        <w:rPr>
          <w:iCs/>
          <w:sz w:val="20"/>
          <w:szCs w:val="20"/>
        </w:rPr>
        <w:t>) 20 at 43 and see generally</w:t>
      </w:r>
      <w:r>
        <w:rPr>
          <w:iCs/>
          <w:sz w:val="20"/>
          <w:szCs w:val="20"/>
        </w:rPr>
        <w:t xml:space="preserve">: </w:t>
      </w:r>
      <w:r w:rsidRPr="007A44D0">
        <w:rPr>
          <w:iCs/>
          <w:sz w:val="20"/>
          <w:szCs w:val="20"/>
        </w:rPr>
        <w:t xml:space="preserve">David Wiseman, “Methods of Protection of Social and Economic Rights in Canada” in Fons Coomans, ed., </w:t>
      </w:r>
      <w:r w:rsidRPr="00186BE8">
        <w:rPr>
          <w:i/>
          <w:iCs/>
          <w:sz w:val="20"/>
          <w:szCs w:val="20"/>
        </w:rPr>
        <w:t>Justiciability of Economic and Social Rights: Experiences from Domestic Systems</w:t>
      </w:r>
      <w:r w:rsidRPr="007A44D0">
        <w:rPr>
          <w:iCs/>
          <w:sz w:val="20"/>
          <w:szCs w:val="20"/>
        </w:rPr>
        <w:t xml:space="preserve"> (Antwerpen: Intersentia, 2006) 173</w:t>
      </w:r>
      <w:r>
        <w:rPr>
          <w:iCs/>
          <w:sz w:val="20"/>
          <w:szCs w:val="20"/>
        </w:rPr>
        <w:t xml:space="preserve">; Brodsky &amp; Day, “Beyond the Social and Economic Rights Debate”, </w:t>
      </w:r>
      <w:r w:rsidRPr="007A32E3">
        <w:rPr>
          <w:i/>
          <w:iCs/>
          <w:sz w:val="20"/>
          <w:szCs w:val="20"/>
        </w:rPr>
        <w:t>supra</w:t>
      </w:r>
      <w:r>
        <w:rPr>
          <w:iCs/>
          <w:sz w:val="20"/>
          <w:szCs w:val="20"/>
        </w:rPr>
        <w:t xml:space="preserve"> note 71; Martha Jackman &amp; Bruce Porter, “</w:t>
      </w:r>
      <w:r w:rsidRPr="007A44D0">
        <w:rPr>
          <w:iCs/>
          <w:sz w:val="20"/>
          <w:szCs w:val="20"/>
        </w:rPr>
        <w:t xml:space="preserve">Women’s Substantive Equality and the Protection of Social and Economic Rights Under the </w:t>
      </w:r>
      <w:r w:rsidRPr="007A32E3">
        <w:rPr>
          <w:i/>
          <w:iCs/>
          <w:sz w:val="20"/>
          <w:szCs w:val="20"/>
        </w:rPr>
        <w:t>Canadian Human Rights Act</w:t>
      </w:r>
      <w:r>
        <w:rPr>
          <w:iCs/>
          <w:sz w:val="20"/>
          <w:szCs w:val="20"/>
        </w:rPr>
        <w:t>”</w:t>
      </w:r>
      <w:r w:rsidRPr="007A44D0">
        <w:rPr>
          <w:iCs/>
          <w:sz w:val="20"/>
          <w:szCs w:val="20"/>
        </w:rPr>
        <w:t xml:space="preserve">, in Status of Women Canada, </w:t>
      </w:r>
      <w:r w:rsidRPr="007A44D0">
        <w:rPr>
          <w:i/>
          <w:iCs/>
          <w:sz w:val="20"/>
          <w:szCs w:val="20"/>
        </w:rPr>
        <w:t>Women and the Canadian Human Rights Act: A Collection of Policy Research Reports</w:t>
      </w:r>
      <w:r w:rsidRPr="007A44D0">
        <w:rPr>
          <w:iCs/>
          <w:sz w:val="20"/>
          <w:szCs w:val="20"/>
        </w:rPr>
        <w:t xml:space="preserve"> (Ottawa: Stat</w:t>
      </w:r>
      <w:r>
        <w:rPr>
          <w:iCs/>
          <w:sz w:val="20"/>
          <w:szCs w:val="20"/>
        </w:rPr>
        <w:t>us of Women Canada, 1999) 43;</w:t>
      </w:r>
      <w:r w:rsidRPr="007A44D0">
        <w:t xml:space="preserve"> </w:t>
      </w:r>
      <w:r w:rsidRPr="007A44D0">
        <w:rPr>
          <w:iCs/>
          <w:sz w:val="20"/>
          <w:szCs w:val="20"/>
        </w:rPr>
        <w:t xml:space="preserve">Martha Jackman, “Poor Rights: Using the </w:t>
      </w:r>
      <w:r w:rsidRPr="007A32E3">
        <w:rPr>
          <w:i/>
          <w:iCs/>
          <w:sz w:val="20"/>
          <w:szCs w:val="20"/>
        </w:rPr>
        <w:t>Charter</w:t>
      </w:r>
      <w:r w:rsidRPr="007A44D0">
        <w:rPr>
          <w:iCs/>
          <w:sz w:val="20"/>
          <w:szCs w:val="20"/>
        </w:rPr>
        <w:t xml:space="preserve"> to Support Social Welfare C</w:t>
      </w:r>
      <w:r>
        <w:rPr>
          <w:iCs/>
          <w:sz w:val="20"/>
          <w:szCs w:val="20"/>
        </w:rPr>
        <w:t>laims” (1993) 19 Queen’s LJ 65.</w:t>
      </w:r>
    </w:p>
  </w:footnote>
  <w:footnote w:id="88">
    <w:p w:rsidR="00B356AA" w:rsidRDefault="00B356AA" w:rsidP="005F3A9B">
      <w:pPr>
        <w:spacing w:after="0"/>
        <w:rPr>
          <w:iCs/>
          <w:sz w:val="20"/>
          <w:szCs w:val="20"/>
        </w:rPr>
      </w:pPr>
      <w:r w:rsidRPr="005F3A9B">
        <w:rPr>
          <w:rStyle w:val="Appelnotedebasdep"/>
          <w:sz w:val="20"/>
          <w:szCs w:val="20"/>
          <w:vertAlign w:val="superscript"/>
        </w:rPr>
        <w:footnoteRef/>
      </w:r>
      <w:r w:rsidRPr="005F3A9B">
        <w:rPr>
          <w:i/>
          <w:iCs/>
          <w:sz w:val="20"/>
          <w:szCs w:val="20"/>
        </w:rPr>
        <w:t>Charter</w:t>
      </w:r>
      <w:r w:rsidRPr="005F3A9B">
        <w:rPr>
          <w:iCs/>
          <w:sz w:val="20"/>
          <w:szCs w:val="20"/>
        </w:rPr>
        <w:t xml:space="preserve">, </w:t>
      </w:r>
      <w:r w:rsidRPr="00313A41">
        <w:rPr>
          <w:i/>
          <w:iCs/>
          <w:sz w:val="20"/>
          <w:szCs w:val="20"/>
        </w:rPr>
        <w:t>supra</w:t>
      </w:r>
      <w:r w:rsidRPr="005F3A9B">
        <w:rPr>
          <w:iCs/>
          <w:sz w:val="20"/>
          <w:szCs w:val="20"/>
        </w:rPr>
        <w:t xml:space="preserve"> note </w:t>
      </w:r>
      <w:r>
        <w:rPr>
          <w:iCs/>
          <w:sz w:val="20"/>
          <w:szCs w:val="20"/>
        </w:rPr>
        <w:t>2</w:t>
      </w:r>
      <w:r w:rsidRPr="005F3A9B">
        <w:rPr>
          <w:iCs/>
          <w:sz w:val="20"/>
          <w:szCs w:val="20"/>
        </w:rPr>
        <w:t>, s. 32(1).</w:t>
      </w:r>
      <w:r w:rsidRPr="005F3A9B">
        <w:rPr>
          <w:sz w:val="20"/>
          <w:szCs w:val="20"/>
        </w:rPr>
        <w:t xml:space="preserve"> </w:t>
      </w:r>
      <w:r w:rsidRPr="005F3A9B">
        <w:rPr>
          <w:iCs/>
          <w:sz w:val="20"/>
          <w:szCs w:val="20"/>
        </w:rPr>
        <w:t xml:space="preserve"> The argument that section 32(1) demands government action was rejected by the Supreme Court in </w:t>
      </w:r>
      <w:r w:rsidRPr="005F3A9B">
        <w:rPr>
          <w:i/>
          <w:iCs/>
          <w:sz w:val="20"/>
          <w:szCs w:val="20"/>
        </w:rPr>
        <w:t>Vriend v Alberta</w:t>
      </w:r>
      <w:r w:rsidRPr="005F3A9B">
        <w:rPr>
          <w:iCs/>
          <w:sz w:val="20"/>
          <w:szCs w:val="20"/>
        </w:rPr>
        <w:t xml:space="preserve"> [1998] </w:t>
      </w:r>
      <w:r>
        <w:rPr>
          <w:iCs/>
          <w:sz w:val="20"/>
          <w:szCs w:val="20"/>
        </w:rPr>
        <w:t xml:space="preserve">1 SCR 493. Citing Dianne Pothier, “The Sounds of Silence: </w:t>
      </w:r>
      <w:r w:rsidRPr="00254432">
        <w:rPr>
          <w:i/>
          <w:iCs/>
          <w:sz w:val="20"/>
          <w:szCs w:val="20"/>
        </w:rPr>
        <w:t>Charter</w:t>
      </w:r>
      <w:r w:rsidRPr="00254432">
        <w:rPr>
          <w:iCs/>
          <w:sz w:val="20"/>
          <w:szCs w:val="20"/>
        </w:rPr>
        <w:t xml:space="preserve"> Application when the Legisl</w:t>
      </w:r>
      <w:r>
        <w:rPr>
          <w:iCs/>
          <w:sz w:val="20"/>
          <w:szCs w:val="20"/>
        </w:rPr>
        <w:t>ature Declines to Speak” (1996)</w:t>
      </w:r>
      <w:r w:rsidRPr="00254432">
        <w:rPr>
          <w:iCs/>
          <w:sz w:val="20"/>
          <w:szCs w:val="20"/>
        </w:rPr>
        <w:t xml:space="preserve"> 7 Constitutional</w:t>
      </w:r>
      <w:r>
        <w:rPr>
          <w:iCs/>
          <w:sz w:val="20"/>
          <w:szCs w:val="20"/>
        </w:rPr>
        <w:t xml:space="preserve"> Forum 113 at </w:t>
      </w:r>
      <w:r w:rsidRPr="00254432">
        <w:rPr>
          <w:iCs/>
          <w:sz w:val="20"/>
          <w:szCs w:val="20"/>
        </w:rPr>
        <w:t>115</w:t>
      </w:r>
      <w:r>
        <w:rPr>
          <w:iCs/>
          <w:sz w:val="20"/>
          <w:szCs w:val="20"/>
        </w:rPr>
        <w:t xml:space="preserve">, Justice Cory stated, at para 60: </w:t>
      </w:r>
    </w:p>
    <w:p w:rsidR="00B356AA" w:rsidRDefault="00B356AA" w:rsidP="00254432">
      <w:pPr>
        <w:spacing w:after="0"/>
        <w:ind w:left="567" w:right="567"/>
        <w:rPr>
          <w:iCs/>
          <w:sz w:val="20"/>
          <w:szCs w:val="20"/>
        </w:rPr>
      </w:pPr>
      <w:r w:rsidRPr="00254432">
        <w:rPr>
          <w:iCs/>
          <w:sz w:val="20"/>
          <w:szCs w:val="20"/>
        </w:rPr>
        <w:t xml:space="preserve">The relevant subsection, s. 32(1) (b), states that the </w:t>
      </w:r>
      <w:r w:rsidRPr="00254432">
        <w:rPr>
          <w:i/>
          <w:iCs/>
          <w:sz w:val="20"/>
          <w:szCs w:val="20"/>
        </w:rPr>
        <w:t>Charter</w:t>
      </w:r>
      <w:r>
        <w:rPr>
          <w:iCs/>
          <w:sz w:val="20"/>
          <w:szCs w:val="20"/>
        </w:rPr>
        <w:t xml:space="preserve"> </w:t>
      </w:r>
      <w:r w:rsidRPr="00254432">
        <w:rPr>
          <w:iCs/>
          <w:sz w:val="20"/>
          <w:szCs w:val="20"/>
        </w:rPr>
        <w:t>applies to “the legislature and government of each province in respect of all matters within the authority of the legislature of each province”.  There is nothing in that wording to suggest that a positive act encroaching on rights is required; rather the subsection speaks only of matters within the authority of the legislature.  Dianne Pothier has</w:t>
      </w:r>
      <w:r>
        <w:rPr>
          <w:iCs/>
          <w:sz w:val="20"/>
          <w:szCs w:val="20"/>
        </w:rPr>
        <w:t xml:space="preserve"> correctly observed that s. 32 </w:t>
      </w:r>
      <w:r w:rsidRPr="00254432">
        <w:rPr>
          <w:iCs/>
          <w:sz w:val="20"/>
          <w:szCs w:val="20"/>
        </w:rPr>
        <w:t>is “worded broadly enough to cover positive obligations on a leg</w:t>
      </w:r>
      <w:r>
        <w:rPr>
          <w:iCs/>
          <w:sz w:val="20"/>
          <w:szCs w:val="20"/>
        </w:rPr>
        <w:t xml:space="preserve">islature such that the </w:t>
      </w:r>
      <w:r w:rsidRPr="00254432">
        <w:rPr>
          <w:i/>
          <w:iCs/>
          <w:sz w:val="20"/>
          <w:szCs w:val="20"/>
        </w:rPr>
        <w:t>Charter</w:t>
      </w:r>
      <w:r>
        <w:rPr>
          <w:iCs/>
          <w:sz w:val="20"/>
          <w:szCs w:val="20"/>
        </w:rPr>
        <w:t xml:space="preserve"> </w:t>
      </w:r>
      <w:r w:rsidRPr="00254432">
        <w:rPr>
          <w:iCs/>
          <w:sz w:val="20"/>
          <w:szCs w:val="20"/>
        </w:rPr>
        <w:t>will be engaged even if the legislature refuses to exercise its authority</w:t>
      </w:r>
      <w:r>
        <w:rPr>
          <w:iCs/>
          <w:sz w:val="20"/>
          <w:szCs w:val="20"/>
        </w:rPr>
        <w:t>.</w:t>
      </w:r>
      <w:r w:rsidRPr="00254432">
        <w:rPr>
          <w:iCs/>
          <w:sz w:val="20"/>
          <w:szCs w:val="20"/>
        </w:rPr>
        <w:t xml:space="preserve">” </w:t>
      </w:r>
      <w:r>
        <w:rPr>
          <w:iCs/>
          <w:sz w:val="20"/>
          <w:szCs w:val="20"/>
        </w:rPr>
        <w:t xml:space="preserve">The application of the </w:t>
      </w:r>
      <w:r w:rsidRPr="00254432">
        <w:rPr>
          <w:i/>
          <w:iCs/>
          <w:sz w:val="20"/>
          <w:szCs w:val="20"/>
        </w:rPr>
        <w:t>Charter</w:t>
      </w:r>
      <w:r>
        <w:rPr>
          <w:iCs/>
          <w:sz w:val="20"/>
          <w:szCs w:val="20"/>
        </w:rPr>
        <w:t xml:space="preserve"> </w:t>
      </w:r>
      <w:r w:rsidRPr="00254432">
        <w:rPr>
          <w:iCs/>
          <w:sz w:val="20"/>
          <w:szCs w:val="20"/>
        </w:rPr>
        <w:t>is not restricted to situations where the government actively encroaches on rights.</w:t>
      </w:r>
    </w:p>
    <w:p w:rsidR="00B356AA" w:rsidRPr="005F3A9B" w:rsidRDefault="00B356AA" w:rsidP="00D05E3E">
      <w:pPr>
        <w:spacing w:after="0"/>
        <w:ind w:right="567"/>
        <w:rPr>
          <w:sz w:val="20"/>
          <w:szCs w:val="20"/>
        </w:rPr>
      </w:pPr>
      <w:r>
        <w:rPr>
          <w:sz w:val="20"/>
          <w:szCs w:val="20"/>
        </w:rPr>
        <w:t xml:space="preserve">See generally: </w:t>
      </w:r>
      <w:r w:rsidRPr="00D05E3E">
        <w:rPr>
          <w:sz w:val="20"/>
          <w:szCs w:val="20"/>
        </w:rPr>
        <w:t xml:space="preserve">Martha Jackman &amp; Bruce Porter, “Rights-Based Strategies to Address Homelessness and Poverty in Canada: The </w:t>
      </w:r>
      <w:r w:rsidRPr="007A32E3">
        <w:rPr>
          <w:i/>
          <w:sz w:val="20"/>
          <w:szCs w:val="20"/>
        </w:rPr>
        <w:t>Charter</w:t>
      </w:r>
      <w:r w:rsidRPr="00D05E3E">
        <w:rPr>
          <w:sz w:val="20"/>
          <w:szCs w:val="20"/>
        </w:rPr>
        <w:t xml:space="preserve"> Framework” in Jackman &amp; Porter, </w:t>
      </w:r>
      <w:r w:rsidRPr="00D05E3E">
        <w:rPr>
          <w:i/>
          <w:sz w:val="20"/>
          <w:szCs w:val="20"/>
        </w:rPr>
        <w:t>Advancing Social Rights</w:t>
      </w:r>
      <w:r w:rsidRPr="00D05E3E">
        <w:rPr>
          <w:sz w:val="20"/>
          <w:szCs w:val="20"/>
        </w:rPr>
        <w:t xml:space="preserve">, </w:t>
      </w:r>
      <w:r w:rsidRPr="00D05E3E">
        <w:rPr>
          <w:i/>
          <w:sz w:val="20"/>
          <w:szCs w:val="20"/>
        </w:rPr>
        <w:t>supra</w:t>
      </w:r>
      <w:r w:rsidRPr="00D05E3E">
        <w:rPr>
          <w:sz w:val="20"/>
          <w:szCs w:val="20"/>
        </w:rPr>
        <w:t xml:space="preserve"> note </w:t>
      </w:r>
      <w:r>
        <w:rPr>
          <w:sz w:val="20"/>
          <w:szCs w:val="20"/>
        </w:rPr>
        <w:t>71</w:t>
      </w:r>
      <w:r w:rsidRPr="00D05E3E">
        <w:rPr>
          <w:sz w:val="20"/>
          <w:szCs w:val="20"/>
        </w:rPr>
        <w:t xml:space="preserve"> 65</w:t>
      </w:r>
      <w:r>
        <w:rPr>
          <w:sz w:val="20"/>
          <w:szCs w:val="20"/>
        </w:rPr>
        <w:t xml:space="preserve"> [Jackman &amp; Porter, “Rights-Based Strategies”]</w:t>
      </w:r>
      <w:r w:rsidRPr="00D05E3E">
        <w:rPr>
          <w:sz w:val="20"/>
          <w:szCs w:val="20"/>
        </w:rPr>
        <w:t>.</w:t>
      </w:r>
    </w:p>
  </w:footnote>
  <w:footnote w:id="89">
    <w:p w:rsidR="00B356AA" w:rsidRPr="005F3A9B" w:rsidRDefault="00B356AA" w:rsidP="005F3A9B">
      <w:pPr>
        <w:spacing w:after="0"/>
        <w:rPr>
          <w:sz w:val="20"/>
          <w:szCs w:val="20"/>
        </w:rPr>
      </w:pPr>
      <w:r w:rsidRPr="005F3A9B">
        <w:rPr>
          <w:rStyle w:val="Appelnotedebasdep"/>
          <w:sz w:val="20"/>
          <w:szCs w:val="20"/>
          <w:vertAlign w:val="superscript"/>
        </w:rPr>
        <w:footnoteRef/>
      </w:r>
      <w:r>
        <w:rPr>
          <w:iCs/>
          <w:sz w:val="20"/>
          <w:szCs w:val="20"/>
        </w:rPr>
        <w:t xml:space="preserve"> </w:t>
      </w:r>
      <w:r w:rsidRPr="005F3A9B">
        <w:rPr>
          <w:iCs/>
          <w:sz w:val="20"/>
          <w:szCs w:val="20"/>
        </w:rPr>
        <w:t xml:space="preserve">Hogg, </w:t>
      </w:r>
      <w:r>
        <w:rPr>
          <w:i/>
          <w:iCs/>
          <w:sz w:val="20"/>
          <w:szCs w:val="20"/>
        </w:rPr>
        <w:t>Constitutional Law</w:t>
      </w:r>
      <w:r w:rsidRPr="007A44D0">
        <w:rPr>
          <w:iCs/>
          <w:sz w:val="20"/>
          <w:szCs w:val="20"/>
        </w:rPr>
        <w:t>,</w:t>
      </w:r>
      <w:r>
        <w:rPr>
          <w:i/>
          <w:iCs/>
          <w:sz w:val="20"/>
          <w:szCs w:val="20"/>
        </w:rPr>
        <w:t xml:space="preserve"> supra </w:t>
      </w:r>
      <w:r>
        <w:rPr>
          <w:iCs/>
          <w:sz w:val="20"/>
          <w:szCs w:val="20"/>
        </w:rPr>
        <w:t xml:space="preserve">note 86 </w:t>
      </w:r>
      <w:r w:rsidRPr="005F3A9B">
        <w:rPr>
          <w:iCs/>
          <w:sz w:val="20"/>
          <w:szCs w:val="20"/>
        </w:rPr>
        <w:t>at 44.5.</w:t>
      </w:r>
    </w:p>
  </w:footnote>
  <w:footnote w:id="9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976130">
        <w:rPr>
          <w:iCs/>
          <w:sz w:val="20"/>
          <w:szCs w:val="20"/>
        </w:rPr>
        <w:t>at</w:t>
      </w:r>
      <w:r w:rsidRPr="005F3A9B">
        <w:rPr>
          <w:iCs/>
          <w:sz w:val="20"/>
          <w:szCs w:val="20"/>
        </w:rPr>
        <w:t xml:space="preserve"> 44.8.</w:t>
      </w:r>
    </w:p>
  </w:footnote>
  <w:footnote w:id="9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w:t>
      </w:r>
    </w:p>
  </w:footnote>
  <w:footnote w:id="9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w:t>
      </w:r>
    </w:p>
  </w:footnote>
  <w:footnote w:id="9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Cs/>
          <w:sz w:val="20"/>
          <w:szCs w:val="20"/>
        </w:rPr>
        <w:t xml:space="preserve"> (SCC)</w:t>
      </w:r>
      <w:r w:rsidRPr="005F3A9B">
        <w:rPr>
          <w:iCs/>
          <w:sz w:val="20"/>
          <w:szCs w:val="20"/>
        </w:rPr>
        <w:t xml:space="preserve">, </w:t>
      </w:r>
      <w:r w:rsidRPr="005F3A9B">
        <w:rPr>
          <w:i/>
          <w:iCs/>
          <w:sz w:val="20"/>
          <w:szCs w:val="20"/>
        </w:rPr>
        <w:t>supra</w:t>
      </w:r>
      <w:r w:rsidRPr="005F3A9B">
        <w:rPr>
          <w:iCs/>
          <w:sz w:val="20"/>
          <w:szCs w:val="20"/>
        </w:rPr>
        <w:t xml:space="preserve"> note </w:t>
      </w:r>
      <w:r>
        <w:rPr>
          <w:iCs/>
          <w:sz w:val="20"/>
          <w:szCs w:val="20"/>
        </w:rPr>
        <w:t>5</w:t>
      </w:r>
      <w:r w:rsidRPr="005F3A9B">
        <w:rPr>
          <w:iCs/>
          <w:sz w:val="20"/>
          <w:szCs w:val="20"/>
        </w:rPr>
        <w:t xml:space="preserve"> (</w:t>
      </w:r>
      <w:r w:rsidRPr="005F3A9B">
        <w:rPr>
          <w:i/>
          <w:iCs/>
          <w:sz w:val="20"/>
          <w:szCs w:val="20"/>
        </w:rPr>
        <w:t>Factum of the Respondent</w:t>
      </w:r>
      <w:r w:rsidRPr="005F3A9B">
        <w:rPr>
          <w:iCs/>
          <w:sz w:val="20"/>
          <w:szCs w:val="20"/>
        </w:rPr>
        <w:t xml:space="preserve"> at </w:t>
      </w:r>
      <w:r>
        <w:rPr>
          <w:iCs/>
          <w:sz w:val="20"/>
          <w:szCs w:val="20"/>
        </w:rPr>
        <w:t xml:space="preserve">para </w:t>
      </w:r>
      <w:r w:rsidRPr="005F3A9B">
        <w:rPr>
          <w:iCs/>
          <w:sz w:val="20"/>
          <w:szCs w:val="20"/>
        </w:rPr>
        <w:t>198)</w:t>
      </w:r>
      <w:r w:rsidRPr="005F3A9B">
        <w:rPr>
          <w:sz w:val="20"/>
          <w:szCs w:val="20"/>
        </w:rPr>
        <w:t>.</w:t>
      </w:r>
    </w:p>
  </w:footnote>
  <w:footnote w:id="9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208.</w:t>
      </w:r>
    </w:p>
  </w:footnote>
  <w:footnote w:id="9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202</w:t>
      </w:r>
      <w:r w:rsidRPr="005F3A9B">
        <w:rPr>
          <w:sz w:val="20"/>
          <w:szCs w:val="20"/>
        </w:rPr>
        <w:t>.</w:t>
      </w:r>
    </w:p>
  </w:footnote>
  <w:footnote w:id="9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220.</w:t>
      </w:r>
    </w:p>
  </w:footnote>
  <w:footnote w:id="9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Pr>
          <w:iCs/>
          <w:sz w:val="20"/>
          <w:szCs w:val="20"/>
        </w:rPr>
        <w:t xml:space="preserve"> at para 211</w:t>
      </w:r>
      <w:r w:rsidRPr="005F3A9B">
        <w:rPr>
          <w:iCs/>
          <w:sz w:val="20"/>
          <w:szCs w:val="20"/>
        </w:rPr>
        <w:t xml:space="preserve"> </w:t>
      </w:r>
      <w:r w:rsidRPr="005F3A9B">
        <w:rPr>
          <w:sz w:val="20"/>
          <w:szCs w:val="20"/>
        </w:rPr>
        <w:t>[author’s translation: “The State therefore has no constitutional obligation to adopt measures to promote or guarantee the security of persons.”].</w:t>
      </w:r>
    </w:p>
  </w:footnote>
  <w:footnote w:id="9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Cs/>
          <w:sz w:val="20"/>
          <w:szCs w:val="20"/>
        </w:rPr>
        <w:t xml:space="preserve"> (SCC)</w:t>
      </w:r>
      <w:r w:rsidRPr="005F3A9B">
        <w:rPr>
          <w:iCs/>
          <w:sz w:val="20"/>
          <w:szCs w:val="20"/>
        </w:rPr>
        <w:t xml:space="preserve">, </w:t>
      </w:r>
      <w:r>
        <w:rPr>
          <w:i/>
          <w:iCs/>
          <w:sz w:val="20"/>
          <w:szCs w:val="20"/>
        </w:rPr>
        <w:t xml:space="preserve">ibid </w:t>
      </w:r>
      <w:r w:rsidRPr="005F3A9B">
        <w:rPr>
          <w:iCs/>
          <w:sz w:val="20"/>
          <w:szCs w:val="20"/>
        </w:rPr>
        <w:t>(</w:t>
      </w:r>
      <w:r w:rsidRPr="005F3A9B">
        <w:rPr>
          <w:i/>
          <w:iCs/>
          <w:sz w:val="20"/>
          <w:szCs w:val="20"/>
        </w:rPr>
        <w:t>Factum of the Intervenor, The Attorney General of Ontario</w:t>
      </w:r>
      <w:r w:rsidRPr="005F3A9B">
        <w:rPr>
          <w:iCs/>
          <w:sz w:val="20"/>
          <w:szCs w:val="20"/>
        </w:rPr>
        <w:t xml:space="preserve"> at </w:t>
      </w:r>
      <w:r>
        <w:rPr>
          <w:iCs/>
          <w:sz w:val="20"/>
          <w:szCs w:val="20"/>
        </w:rPr>
        <w:t xml:space="preserve">para </w:t>
      </w:r>
      <w:r w:rsidRPr="005F3A9B">
        <w:rPr>
          <w:iCs/>
          <w:sz w:val="20"/>
          <w:szCs w:val="20"/>
        </w:rPr>
        <w:t>30)</w:t>
      </w:r>
      <w:r w:rsidRPr="005F3A9B">
        <w:rPr>
          <w:sz w:val="20"/>
          <w:szCs w:val="20"/>
        </w:rPr>
        <w:t>.</w:t>
      </w:r>
    </w:p>
  </w:footnote>
  <w:footnote w:id="9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46.</w:t>
      </w:r>
    </w:p>
  </w:footnote>
  <w:footnote w:id="10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58.</w:t>
      </w:r>
    </w:p>
  </w:footnote>
  <w:footnote w:id="10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w:t>
      </w:r>
    </w:p>
  </w:footnote>
  <w:footnote w:id="102">
    <w:p w:rsidR="00B356AA"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5F3A9B">
        <w:rPr>
          <w:iCs/>
          <w:sz w:val="20"/>
          <w:szCs w:val="20"/>
        </w:rPr>
        <w:t xml:space="preserve">at </w:t>
      </w:r>
      <w:r>
        <w:rPr>
          <w:iCs/>
          <w:sz w:val="20"/>
          <w:szCs w:val="20"/>
        </w:rPr>
        <w:t xml:space="preserve">para </w:t>
      </w:r>
      <w:r w:rsidRPr="005F3A9B">
        <w:rPr>
          <w:iCs/>
          <w:sz w:val="20"/>
          <w:szCs w:val="20"/>
        </w:rPr>
        <w:t>213.</w:t>
      </w:r>
      <w:r>
        <w:rPr>
          <w:iCs/>
          <w:sz w:val="20"/>
          <w:szCs w:val="20"/>
        </w:rPr>
        <w:t xml:space="preserve"> Justice Bastarache’s narrow reading of section 7 in </w:t>
      </w:r>
      <w:r w:rsidRPr="000530F4">
        <w:rPr>
          <w:i/>
          <w:iCs/>
          <w:sz w:val="20"/>
          <w:szCs w:val="20"/>
        </w:rPr>
        <w:t>Gosselin</w:t>
      </w:r>
      <w:r>
        <w:rPr>
          <w:iCs/>
          <w:sz w:val="20"/>
          <w:szCs w:val="20"/>
        </w:rPr>
        <w:t xml:space="preserve"> was particularly disappointing in light of his Court of Appeal dissent, subsequently adopted by the Supreme Court of Canada, in </w:t>
      </w:r>
      <w:r w:rsidRPr="00AB1462">
        <w:rPr>
          <w:i/>
          <w:sz w:val="20"/>
          <w:szCs w:val="20"/>
        </w:rPr>
        <w:t>J.G. v. New Brunswick (Health and Community Services)</w:t>
      </w:r>
      <w:r w:rsidRPr="00AB1462">
        <w:rPr>
          <w:sz w:val="20"/>
          <w:szCs w:val="20"/>
        </w:rPr>
        <w:t>, (1997), 187 N.B.R. (2d) 81</w:t>
      </w:r>
      <w:r>
        <w:rPr>
          <w:sz w:val="20"/>
          <w:szCs w:val="20"/>
        </w:rPr>
        <w:t xml:space="preserve"> (CA); aff’d</w:t>
      </w:r>
      <w:r w:rsidRPr="00AB1462">
        <w:rPr>
          <w:sz w:val="20"/>
          <w:szCs w:val="20"/>
        </w:rPr>
        <w:t xml:space="preserve"> </w:t>
      </w:r>
      <w:r w:rsidRPr="00AB1462">
        <w:rPr>
          <w:i/>
          <w:iCs/>
          <w:sz w:val="20"/>
          <w:szCs w:val="20"/>
        </w:rPr>
        <w:t>New Brunswick (Minister of Health and Community Services) v G(J)</w:t>
      </w:r>
      <w:r w:rsidRPr="00AB1462">
        <w:rPr>
          <w:iCs/>
          <w:sz w:val="20"/>
          <w:szCs w:val="20"/>
        </w:rPr>
        <w:t>, [1999] 3 SCR 46</w:t>
      </w:r>
      <w:r>
        <w:rPr>
          <w:sz w:val="20"/>
          <w:szCs w:val="20"/>
        </w:rPr>
        <w:t xml:space="preserve">. In that case, Justice Bastarache concluded that the New Brunswick government had a positive obligation to provide legal aid to a sole support mother on social assistance who was at risk of losing custody of her children, and who couldn’t afford a lawyer to represent her.  Referencing John Whyte’s section 7 analysis, </w:t>
      </w:r>
      <w:r w:rsidRPr="000530F4">
        <w:rPr>
          <w:i/>
          <w:sz w:val="20"/>
          <w:szCs w:val="20"/>
        </w:rPr>
        <w:t>supra</w:t>
      </w:r>
      <w:r>
        <w:rPr>
          <w:sz w:val="20"/>
          <w:szCs w:val="20"/>
        </w:rPr>
        <w:t xml:space="preserve"> note 83, Justice Bastarache observed, at p. 12: </w:t>
      </w:r>
    </w:p>
    <w:p w:rsidR="00B356AA" w:rsidRPr="005F3A9B" w:rsidRDefault="00B356AA" w:rsidP="000530F4">
      <w:pPr>
        <w:spacing w:after="0"/>
        <w:ind w:left="567" w:right="567"/>
        <w:rPr>
          <w:sz w:val="20"/>
          <w:szCs w:val="20"/>
        </w:rPr>
      </w:pPr>
      <w:r w:rsidRPr="000530F4">
        <w:rPr>
          <w:sz w:val="20"/>
          <w:szCs w:val="20"/>
        </w:rPr>
        <w:t xml:space="preserve">In modern societies, rights cannot be fully protected by preventing government intrusions in the lives of citizens. Some rights in effect require governmental action </w:t>
      </w:r>
      <w:r>
        <w:rPr>
          <w:sz w:val="20"/>
          <w:szCs w:val="20"/>
        </w:rPr>
        <w:t xml:space="preserve">… </w:t>
      </w:r>
      <w:r w:rsidRPr="000530F4">
        <w:rPr>
          <w:sz w:val="20"/>
          <w:szCs w:val="20"/>
        </w:rPr>
        <w:t xml:space="preserve">It is also important to look at individual international instruments </w:t>
      </w:r>
      <w:r>
        <w:rPr>
          <w:sz w:val="20"/>
          <w:szCs w:val="20"/>
        </w:rPr>
        <w:t>…</w:t>
      </w:r>
      <w:r w:rsidRPr="000530F4">
        <w:rPr>
          <w:sz w:val="20"/>
          <w:szCs w:val="20"/>
        </w:rPr>
        <w:t xml:space="preserve"> for instance, section 25 of the </w:t>
      </w:r>
      <w:r w:rsidRPr="000530F4">
        <w:rPr>
          <w:i/>
          <w:sz w:val="20"/>
          <w:szCs w:val="20"/>
        </w:rPr>
        <w:t>Universal Declaration of Human Rights</w:t>
      </w:r>
      <w:r>
        <w:rPr>
          <w:sz w:val="20"/>
          <w:szCs w:val="20"/>
        </w:rPr>
        <w:t xml:space="preserve"> … </w:t>
      </w:r>
      <w:r w:rsidRPr="000530F4">
        <w:rPr>
          <w:sz w:val="20"/>
          <w:szCs w:val="20"/>
        </w:rPr>
        <w:t xml:space="preserve">speaks of "the right to </w:t>
      </w:r>
      <w:r w:rsidRPr="000530F4">
        <w:rPr>
          <w:b/>
          <w:sz w:val="20"/>
          <w:szCs w:val="20"/>
        </w:rPr>
        <w:t>security</w:t>
      </w:r>
      <w:r w:rsidRPr="000530F4">
        <w:rPr>
          <w:sz w:val="20"/>
          <w:szCs w:val="20"/>
        </w:rPr>
        <w:t xml:space="preserve"> in the event of unemployment, sickness, disability, widowhood, old age and other lack of livelihood in circumstances beyond </w:t>
      </w:r>
      <w:r>
        <w:rPr>
          <w:sz w:val="20"/>
          <w:szCs w:val="20"/>
        </w:rPr>
        <w:t xml:space="preserve">[one's] control" (my emphasis).  </w:t>
      </w:r>
      <w:r w:rsidRPr="000530F4">
        <w:rPr>
          <w:sz w:val="20"/>
          <w:szCs w:val="20"/>
        </w:rPr>
        <w:t xml:space="preserve">The </w:t>
      </w:r>
      <w:r w:rsidRPr="000530F4">
        <w:rPr>
          <w:i/>
          <w:sz w:val="20"/>
          <w:szCs w:val="20"/>
        </w:rPr>
        <w:t>Charter</w:t>
      </w:r>
      <w:r w:rsidRPr="000530F4">
        <w:rPr>
          <w:sz w:val="20"/>
          <w:szCs w:val="20"/>
        </w:rPr>
        <w:t xml:space="preserve"> must limit the intrusion of the state in the lives of its citizens; it must also mandate its function in those limited cases where individuals can make legitimate claims against it in the name of liberty and human dignity.</w:t>
      </w:r>
    </w:p>
  </w:footnote>
  <w:footnote w:id="103">
    <w:p w:rsidR="00B356AA" w:rsidRPr="005F3A9B" w:rsidRDefault="00B356AA" w:rsidP="005F3A9B">
      <w:pPr>
        <w:spacing w:after="0"/>
        <w:rPr>
          <w:sz w:val="20"/>
          <w:szCs w:val="20"/>
        </w:rPr>
      </w:pPr>
      <w:r w:rsidRPr="005F3A9B">
        <w:rPr>
          <w:rStyle w:val="Appelnotedebasdep"/>
          <w:sz w:val="20"/>
          <w:szCs w:val="20"/>
          <w:vertAlign w:val="superscript"/>
        </w:rPr>
        <w:footnoteRef/>
      </w:r>
      <w:r w:rsidRPr="00704754">
        <w:rPr>
          <w:i/>
          <w:iCs/>
          <w:sz w:val="20"/>
          <w:szCs w:val="20"/>
        </w:rPr>
        <w:t>Gosselin</w:t>
      </w:r>
      <w:r>
        <w:rPr>
          <w:iCs/>
          <w:sz w:val="20"/>
          <w:szCs w:val="20"/>
        </w:rPr>
        <w:t xml:space="preserve"> (SCC), </w:t>
      </w:r>
      <w:r w:rsidRPr="00704754">
        <w:rPr>
          <w:i/>
          <w:iCs/>
          <w:sz w:val="20"/>
          <w:szCs w:val="20"/>
        </w:rPr>
        <w:t>ibid</w:t>
      </w:r>
      <w:r>
        <w:rPr>
          <w:i/>
          <w:iCs/>
          <w:sz w:val="20"/>
          <w:szCs w:val="20"/>
        </w:rPr>
        <w:t xml:space="preserve"> </w:t>
      </w:r>
      <w:r w:rsidRPr="003D619E">
        <w:rPr>
          <w:iCs/>
          <w:sz w:val="20"/>
          <w:szCs w:val="20"/>
        </w:rPr>
        <w:t>at</w:t>
      </w:r>
      <w:r w:rsidRPr="005F3A9B">
        <w:rPr>
          <w:iCs/>
          <w:sz w:val="20"/>
          <w:szCs w:val="20"/>
        </w:rPr>
        <w:t xml:space="preserve"> </w:t>
      </w:r>
      <w:r>
        <w:rPr>
          <w:iCs/>
          <w:sz w:val="20"/>
          <w:szCs w:val="20"/>
        </w:rPr>
        <w:t xml:space="preserve">para </w:t>
      </w:r>
      <w:r w:rsidRPr="005F3A9B">
        <w:rPr>
          <w:iCs/>
          <w:sz w:val="20"/>
          <w:szCs w:val="20"/>
        </w:rPr>
        <w:t>217.</w:t>
      </w:r>
    </w:p>
  </w:footnote>
  <w:footnote w:id="104">
    <w:p w:rsidR="00B356AA" w:rsidRPr="005F3A9B" w:rsidRDefault="00B356AA" w:rsidP="007A44D0">
      <w:pPr>
        <w:spacing w:after="0"/>
        <w:rPr>
          <w:sz w:val="20"/>
          <w:szCs w:val="20"/>
        </w:rPr>
      </w:pPr>
      <w:r w:rsidRPr="005F3A9B">
        <w:rPr>
          <w:rStyle w:val="Appelnotedebasdep"/>
          <w:sz w:val="20"/>
          <w:szCs w:val="20"/>
          <w:vertAlign w:val="superscript"/>
        </w:rPr>
        <w:footnoteRef/>
      </w:r>
      <w:r>
        <w:rPr>
          <w:i/>
          <w:iCs/>
          <w:sz w:val="20"/>
          <w:szCs w:val="20"/>
        </w:rPr>
        <w:t xml:space="preserve">Ibid </w:t>
      </w:r>
      <w:r w:rsidRPr="005F3A9B">
        <w:rPr>
          <w:iCs/>
          <w:sz w:val="20"/>
          <w:szCs w:val="20"/>
        </w:rPr>
        <w:t xml:space="preserve">at </w:t>
      </w:r>
      <w:r>
        <w:rPr>
          <w:iCs/>
          <w:sz w:val="20"/>
          <w:szCs w:val="20"/>
        </w:rPr>
        <w:t>para 22</w:t>
      </w:r>
      <w:r w:rsidRPr="005F3A9B">
        <w:rPr>
          <w:iCs/>
          <w:sz w:val="20"/>
          <w:szCs w:val="20"/>
        </w:rPr>
        <w:t>3.</w:t>
      </w:r>
    </w:p>
  </w:footnote>
  <w:footnote w:id="105">
    <w:p w:rsidR="00B356AA" w:rsidRPr="005F3A9B" w:rsidRDefault="00B356AA" w:rsidP="003D619E">
      <w:pPr>
        <w:spacing w:after="0"/>
        <w:rPr>
          <w:sz w:val="20"/>
          <w:szCs w:val="20"/>
        </w:rPr>
      </w:pPr>
      <w:r w:rsidRPr="005F3A9B">
        <w:rPr>
          <w:rStyle w:val="Appelnotedebasdep"/>
          <w:sz w:val="20"/>
          <w:szCs w:val="20"/>
          <w:vertAlign w:val="superscript"/>
        </w:rPr>
        <w:footnoteRef/>
      </w:r>
      <w:r>
        <w:rPr>
          <w:i/>
          <w:iCs/>
          <w:sz w:val="20"/>
          <w:szCs w:val="20"/>
        </w:rPr>
        <w:t xml:space="preserve">Ibid </w:t>
      </w:r>
      <w:r w:rsidRPr="003D619E">
        <w:rPr>
          <w:iCs/>
          <w:sz w:val="20"/>
          <w:szCs w:val="20"/>
        </w:rPr>
        <w:t>at</w:t>
      </w:r>
      <w:r w:rsidRPr="005F3A9B">
        <w:rPr>
          <w:iCs/>
          <w:sz w:val="20"/>
          <w:szCs w:val="20"/>
        </w:rPr>
        <w:t xml:space="preserve"> </w:t>
      </w:r>
      <w:r>
        <w:rPr>
          <w:iCs/>
          <w:sz w:val="20"/>
          <w:szCs w:val="20"/>
        </w:rPr>
        <w:t xml:space="preserve">para </w:t>
      </w:r>
      <w:r w:rsidRPr="005F3A9B">
        <w:rPr>
          <w:iCs/>
          <w:sz w:val="20"/>
          <w:szCs w:val="20"/>
        </w:rPr>
        <w:t>401.</w:t>
      </w:r>
    </w:p>
  </w:footnote>
  <w:footnote w:id="10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Ibid</w:t>
      </w:r>
      <w:r>
        <w:rPr>
          <w:iCs/>
          <w:sz w:val="20"/>
          <w:szCs w:val="20"/>
        </w:rPr>
        <w:t xml:space="preserve"> at para 82.</w:t>
      </w:r>
    </w:p>
  </w:footnote>
  <w:footnote w:id="107">
    <w:p w:rsidR="00B356AA" w:rsidRPr="005F3A9B" w:rsidRDefault="00B356AA" w:rsidP="003D619E">
      <w:pPr>
        <w:spacing w:after="0"/>
        <w:rPr>
          <w:sz w:val="20"/>
          <w:szCs w:val="20"/>
        </w:rPr>
      </w:pPr>
      <w:r w:rsidRPr="005F3A9B">
        <w:rPr>
          <w:rStyle w:val="Appelnotedebasdep"/>
          <w:sz w:val="20"/>
          <w:szCs w:val="20"/>
          <w:vertAlign w:val="superscript"/>
        </w:rPr>
        <w:footnoteRef/>
      </w:r>
      <w:r>
        <w:rPr>
          <w:i/>
          <w:iCs/>
          <w:sz w:val="20"/>
          <w:szCs w:val="20"/>
        </w:rPr>
        <w:t>Ibid</w:t>
      </w:r>
      <w:r w:rsidRPr="005F3A9B">
        <w:rPr>
          <w:iCs/>
          <w:sz w:val="20"/>
          <w:szCs w:val="20"/>
        </w:rPr>
        <w:t>.</w:t>
      </w:r>
    </w:p>
  </w:footnote>
  <w:footnote w:id="10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3D619E">
        <w:rPr>
          <w:iCs/>
          <w:sz w:val="20"/>
          <w:szCs w:val="20"/>
        </w:rPr>
        <w:t>at</w:t>
      </w:r>
      <w:r w:rsidRPr="005F3A9B">
        <w:rPr>
          <w:sz w:val="20"/>
          <w:szCs w:val="20"/>
        </w:rPr>
        <w:t xml:space="preserve"> </w:t>
      </w:r>
      <w:r>
        <w:rPr>
          <w:sz w:val="20"/>
          <w:szCs w:val="20"/>
        </w:rPr>
        <w:t xml:space="preserve">para </w:t>
      </w:r>
      <w:r w:rsidRPr="005F3A9B">
        <w:rPr>
          <w:sz w:val="20"/>
          <w:szCs w:val="20"/>
        </w:rPr>
        <w:t>81.</w:t>
      </w:r>
    </w:p>
  </w:footnote>
  <w:footnote w:id="10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sz w:val="20"/>
          <w:szCs w:val="20"/>
        </w:rPr>
        <w:t>Edwards v. Attorney-General for Canada</w:t>
      </w:r>
      <w:r>
        <w:rPr>
          <w:sz w:val="20"/>
          <w:szCs w:val="20"/>
        </w:rPr>
        <w:t>, [1930] AC 124 at 136.</w:t>
      </w:r>
    </w:p>
  </w:footnote>
  <w:footnote w:id="11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sidRPr="005F3A9B">
        <w:rPr>
          <w:iCs/>
          <w:sz w:val="20"/>
          <w:szCs w:val="20"/>
        </w:rPr>
        <w:t xml:space="preserve">[2000] 2 SCR 307 at </w:t>
      </w:r>
      <w:r>
        <w:rPr>
          <w:iCs/>
          <w:sz w:val="20"/>
          <w:szCs w:val="20"/>
        </w:rPr>
        <w:t xml:space="preserve">para </w:t>
      </w:r>
      <w:r w:rsidRPr="005F3A9B">
        <w:rPr>
          <w:iCs/>
          <w:sz w:val="20"/>
          <w:szCs w:val="20"/>
        </w:rPr>
        <w:t>188</w:t>
      </w:r>
      <w:r w:rsidRPr="005F3A9B">
        <w:rPr>
          <w:sz w:val="20"/>
          <w:szCs w:val="20"/>
        </w:rPr>
        <w:t>.</w:t>
      </w:r>
    </w:p>
  </w:footnote>
  <w:footnote w:id="11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Gosselin</w:t>
      </w:r>
      <w:r>
        <w:rPr>
          <w:iCs/>
          <w:sz w:val="20"/>
          <w:szCs w:val="20"/>
        </w:rPr>
        <w:t xml:space="preserve"> (SCC)</w:t>
      </w:r>
      <w:r w:rsidRPr="005F3A9B">
        <w:rPr>
          <w:iCs/>
          <w:sz w:val="20"/>
          <w:szCs w:val="20"/>
        </w:rPr>
        <w:t xml:space="preserve">, </w:t>
      </w:r>
      <w:r w:rsidRPr="005F3A9B">
        <w:rPr>
          <w:i/>
          <w:iCs/>
          <w:sz w:val="20"/>
          <w:szCs w:val="20"/>
        </w:rPr>
        <w:t>supra</w:t>
      </w:r>
      <w:r>
        <w:rPr>
          <w:iCs/>
          <w:sz w:val="20"/>
          <w:szCs w:val="20"/>
        </w:rPr>
        <w:t xml:space="preserve"> note 5 at para</w:t>
      </w:r>
      <w:r w:rsidRPr="005F3A9B">
        <w:rPr>
          <w:iCs/>
          <w:sz w:val="20"/>
          <w:szCs w:val="20"/>
        </w:rPr>
        <w:t xml:space="preserve"> 82</w:t>
      </w:r>
      <w:r w:rsidRPr="005F3A9B">
        <w:rPr>
          <w:sz w:val="20"/>
          <w:szCs w:val="20"/>
        </w:rPr>
        <w:t>.</w:t>
      </w:r>
    </w:p>
  </w:footnote>
  <w:footnote w:id="11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3D619E">
        <w:rPr>
          <w:iCs/>
          <w:sz w:val="20"/>
          <w:szCs w:val="20"/>
        </w:rPr>
        <w:t>at</w:t>
      </w:r>
      <w:r w:rsidRPr="005F3A9B">
        <w:rPr>
          <w:iCs/>
          <w:sz w:val="20"/>
          <w:szCs w:val="20"/>
        </w:rPr>
        <w:t xml:space="preserve"> paras 82-83</w:t>
      </w:r>
      <w:r w:rsidRPr="005F3A9B">
        <w:rPr>
          <w:sz w:val="20"/>
          <w:szCs w:val="20"/>
        </w:rPr>
        <w:t>.</w:t>
      </w:r>
    </w:p>
  </w:footnote>
  <w:footnote w:id="113">
    <w:p w:rsidR="00B356AA" w:rsidRPr="001F2469" w:rsidRDefault="00B356AA" w:rsidP="00FC4986">
      <w:pPr>
        <w:spacing w:after="0"/>
        <w:rPr>
          <w:sz w:val="20"/>
          <w:szCs w:val="20"/>
        </w:rPr>
      </w:pPr>
      <w:r w:rsidRPr="005F3A9B">
        <w:rPr>
          <w:rStyle w:val="Appelnotedebasdep"/>
          <w:sz w:val="20"/>
          <w:szCs w:val="20"/>
          <w:vertAlign w:val="superscript"/>
        </w:rPr>
        <w:footnoteRef/>
      </w:r>
      <w:r w:rsidRPr="001F2469">
        <w:rPr>
          <w:i/>
          <w:iCs/>
          <w:sz w:val="20"/>
          <w:szCs w:val="20"/>
        </w:rPr>
        <w:t>Ibid</w:t>
      </w:r>
      <w:r w:rsidRPr="001F2469">
        <w:rPr>
          <w:iCs/>
          <w:sz w:val="20"/>
          <w:szCs w:val="20"/>
        </w:rPr>
        <w:t xml:space="preserve"> at para 319</w:t>
      </w:r>
      <w:r w:rsidRPr="001F2469">
        <w:rPr>
          <w:sz w:val="20"/>
          <w:szCs w:val="20"/>
        </w:rPr>
        <w:t>.</w:t>
      </w:r>
    </w:p>
  </w:footnote>
  <w:footnote w:id="11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CA1D99">
        <w:rPr>
          <w:iCs/>
          <w:sz w:val="20"/>
          <w:szCs w:val="20"/>
        </w:rPr>
        <w:t>at</w:t>
      </w:r>
      <w:r w:rsidRPr="005F3A9B">
        <w:rPr>
          <w:sz w:val="20"/>
          <w:szCs w:val="20"/>
        </w:rPr>
        <w:t xml:space="preserve"> </w:t>
      </w:r>
      <w:r>
        <w:rPr>
          <w:sz w:val="20"/>
          <w:szCs w:val="20"/>
        </w:rPr>
        <w:t xml:space="preserve">para </w:t>
      </w:r>
      <w:r w:rsidRPr="005F3A9B">
        <w:rPr>
          <w:sz w:val="20"/>
          <w:szCs w:val="20"/>
        </w:rPr>
        <w:t>309.</w:t>
      </w:r>
    </w:p>
  </w:footnote>
  <w:footnote w:id="115">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CA1D99">
        <w:rPr>
          <w:iCs/>
          <w:sz w:val="20"/>
          <w:szCs w:val="20"/>
        </w:rPr>
        <w:t>at</w:t>
      </w:r>
      <w:r w:rsidRPr="005F3A9B">
        <w:rPr>
          <w:sz w:val="20"/>
          <w:szCs w:val="20"/>
        </w:rPr>
        <w:t xml:space="preserve"> </w:t>
      </w:r>
      <w:r>
        <w:rPr>
          <w:sz w:val="20"/>
          <w:szCs w:val="20"/>
        </w:rPr>
        <w:t xml:space="preserve">para </w:t>
      </w:r>
      <w:r w:rsidRPr="005F3A9B">
        <w:rPr>
          <w:sz w:val="20"/>
          <w:szCs w:val="20"/>
        </w:rPr>
        <w:t>311.</w:t>
      </w:r>
    </w:p>
  </w:footnote>
  <w:footnote w:id="11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Supra</w:t>
      </w:r>
      <w:r w:rsidRPr="005F3A9B">
        <w:rPr>
          <w:iCs/>
          <w:sz w:val="20"/>
          <w:szCs w:val="20"/>
        </w:rPr>
        <w:t xml:space="preserve"> note </w:t>
      </w:r>
      <w:r>
        <w:rPr>
          <w:iCs/>
          <w:sz w:val="20"/>
          <w:szCs w:val="20"/>
        </w:rPr>
        <w:t>1.</w:t>
      </w:r>
    </w:p>
  </w:footnote>
  <w:footnote w:id="11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iCs/>
          <w:sz w:val="20"/>
          <w:szCs w:val="20"/>
        </w:rPr>
        <w:t xml:space="preserve"> (SCC)</w:t>
      </w:r>
      <w:r w:rsidRPr="005F3A9B">
        <w:rPr>
          <w:iCs/>
          <w:sz w:val="20"/>
          <w:szCs w:val="20"/>
        </w:rPr>
        <w:t xml:space="preserve">, </w:t>
      </w:r>
      <w:r w:rsidRPr="00CA1D99">
        <w:rPr>
          <w:i/>
          <w:iCs/>
          <w:sz w:val="20"/>
          <w:szCs w:val="20"/>
        </w:rPr>
        <w:t>supra</w:t>
      </w:r>
      <w:r w:rsidRPr="005F3A9B">
        <w:rPr>
          <w:iCs/>
          <w:sz w:val="20"/>
          <w:szCs w:val="20"/>
        </w:rPr>
        <w:t xml:space="preserve"> </w:t>
      </w:r>
      <w:r>
        <w:rPr>
          <w:iCs/>
          <w:sz w:val="20"/>
          <w:szCs w:val="20"/>
        </w:rPr>
        <w:t>note 5</w:t>
      </w:r>
      <w:r w:rsidRPr="005F3A9B">
        <w:rPr>
          <w:i/>
          <w:iCs/>
          <w:sz w:val="20"/>
          <w:szCs w:val="20"/>
        </w:rPr>
        <w:t xml:space="preserve"> </w:t>
      </w:r>
      <w:r w:rsidRPr="005F3A9B">
        <w:rPr>
          <w:sz w:val="20"/>
          <w:szCs w:val="20"/>
        </w:rPr>
        <w:t xml:space="preserve">at </w:t>
      </w:r>
      <w:r>
        <w:rPr>
          <w:sz w:val="20"/>
          <w:szCs w:val="20"/>
        </w:rPr>
        <w:t xml:space="preserve">para </w:t>
      </w:r>
      <w:r w:rsidRPr="005F3A9B">
        <w:rPr>
          <w:sz w:val="20"/>
          <w:szCs w:val="20"/>
        </w:rPr>
        <w:t>312.</w:t>
      </w:r>
    </w:p>
  </w:footnote>
  <w:footnote w:id="11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CA1D99">
        <w:rPr>
          <w:iCs/>
          <w:sz w:val="20"/>
          <w:szCs w:val="20"/>
        </w:rPr>
        <w:t>at</w:t>
      </w:r>
      <w:r w:rsidRPr="005F3A9B">
        <w:rPr>
          <w:sz w:val="20"/>
          <w:szCs w:val="20"/>
        </w:rPr>
        <w:t xml:space="preserve"> </w:t>
      </w:r>
      <w:r>
        <w:rPr>
          <w:sz w:val="20"/>
          <w:szCs w:val="20"/>
        </w:rPr>
        <w:t xml:space="preserve">para </w:t>
      </w:r>
      <w:r w:rsidRPr="005F3A9B">
        <w:rPr>
          <w:sz w:val="20"/>
          <w:szCs w:val="20"/>
        </w:rPr>
        <w:t>319.</w:t>
      </w:r>
    </w:p>
  </w:footnote>
  <w:footnote w:id="119">
    <w:p w:rsidR="00B356AA" w:rsidRPr="005F3A9B" w:rsidRDefault="00B356AA" w:rsidP="001F2469">
      <w:pPr>
        <w:spacing w:after="0"/>
        <w:rPr>
          <w:sz w:val="20"/>
          <w:szCs w:val="20"/>
        </w:rPr>
      </w:pPr>
      <w:r w:rsidRPr="005F3A9B">
        <w:rPr>
          <w:rStyle w:val="Appelnotedebasdep"/>
          <w:sz w:val="20"/>
          <w:szCs w:val="20"/>
          <w:vertAlign w:val="superscript"/>
        </w:rPr>
        <w:footnoteRef/>
      </w:r>
      <w:r>
        <w:rPr>
          <w:i/>
          <w:iCs/>
          <w:sz w:val="20"/>
          <w:szCs w:val="20"/>
        </w:rPr>
        <w:t xml:space="preserve">Ibid </w:t>
      </w:r>
      <w:r w:rsidRPr="005F3A9B">
        <w:rPr>
          <w:sz w:val="20"/>
          <w:szCs w:val="20"/>
        </w:rPr>
        <w:t>at paras 321-325.</w:t>
      </w:r>
    </w:p>
  </w:footnote>
  <w:footnote w:id="120">
    <w:p w:rsidR="00B356AA" w:rsidRPr="005F3A9B" w:rsidRDefault="00B356AA" w:rsidP="001F2469">
      <w:pPr>
        <w:spacing w:after="0"/>
        <w:rPr>
          <w:sz w:val="20"/>
          <w:szCs w:val="20"/>
        </w:rPr>
      </w:pPr>
      <w:r w:rsidRPr="005F3A9B">
        <w:rPr>
          <w:rStyle w:val="Appelnotedebasdep"/>
          <w:sz w:val="20"/>
          <w:szCs w:val="20"/>
          <w:vertAlign w:val="superscript"/>
        </w:rPr>
        <w:footnoteRef/>
      </w:r>
      <w:r>
        <w:rPr>
          <w:i/>
          <w:iCs/>
          <w:sz w:val="20"/>
          <w:szCs w:val="20"/>
        </w:rPr>
        <w:t>S</w:t>
      </w:r>
      <w:r w:rsidRPr="00204432">
        <w:rPr>
          <w:i/>
          <w:iCs/>
          <w:sz w:val="20"/>
          <w:szCs w:val="20"/>
        </w:rPr>
        <w:t>upra</w:t>
      </w:r>
      <w:r>
        <w:rPr>
          <w:iCs/>
          <w:sz w:val="20"/>
          <w:szCs w:val="20"/>
        </w:rPr>
        <w:t xml:space="preserve"> note 102.</w:t>
      </w:r>
    </w:p>
  </w:footnote>
  <w:footnote w:id="121">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Gosselin</w:t>
      </w:r>
      <w:r>
        <w:rPr>
          <w:iCs/>
          <w:sz w:val="20"/>
          <w:szCs w:val="20"/>
        </w:rPr>
        <w:t xml:space="preserve"> (SCC), </w:t>
      </w:r>
      <w:r w:rsidRPr="001F2469">
        <w:rPr>
          <w:i/>
          <w:iCs/>
          <w:sz w:val="20"/>
          <w:szCs w:val="20"/>
        </w:rPr>
        <w:t>supra</w:t>
      </w:r>
      <w:r>
        <w:rPr>
          <w:iCs/>
          <w:sz w:val="20"/>
          <w:szCs w:val="20"/>
        </w:rPr>
        <w:t xml:space="preserve"> note 5</w:t>
      </w:r>
      <w:r>
        <w:rPr>
          <w:i/>
          <w:iCs/>
          <w:sz w:val="20"/>
          <w:szCs w:val="20"/>
        </w:rPr>
        <w:t xml:space="preserve"> </w:t>
      </w:r>
      <w:r w:rsidRPr="00976130">
        <w:rPr>
          <w:iCs/>
          <w:sz w:val="20"/>
          <w:szCs w:val="20"/>
        </w:rPr>
        <w:t>at</w:t>
      </w:r>
      <w:r w:rsidRPr="005F3A9B">
        <w:rPr>
          <w:sz w:val="20"/>
          <w:szCs w:val="20"/>
        </w:rPr>
        <w:t xml:space="preserve"> paras 330-331 citing Hogg, </w:t>
      </w:r>
      <w:r w:rsidRPr="005F3A9B">
        <w:rPr>
          <w:i/>
          <w:sz w:val="20"/>
          <w:szCs w:val="20"/>
        </w:rPr>
        <w:t>Constitutional Law of Canada</w:t>
      </w:r>
      <w:r w:rsidRPr="005F3A9B">
        <w:rPr>
          <w:sz w:val="20"/>
          <w:szCs w:val="20"/>
        </w:rPr>
        <w:t xml:space="preserve">, </w:t>
      </w:r>
      <w:r w:rsidRPr="005F3A9B">
        <w:rPr>
          <w:i/>
          <w:sz w:val="20"/>
          <w:szCs w:val="20"/>
        </w:rPr>
        <w:t>supra</w:t>
      </w:r>
      <w:r w:rsidRPr="005F3A9B">
        <w:rPr>
          <w:sz w:val="20"/>
          <w:szCs w:val="20"/>
        </w:rPr>
        <w:t xml:space="preserve"> note </w:t>
      </w:r>
      <w:r>
        <w:rPr>
          <w:sz w:val="20"/>
          <w:szCs w:val="20"/>
        </w:rPr>
        <w:t>86</w:t>
      </w:r>
      <w:r w:rsidRPr="005F3A9B">
        <w:rPr>
          <w:sz w:val="20"/>
          <w:szCs w:val="20"/>
        </w:rPr>
        <w:t>.</w:t>
      </w:r>
    </w:p>
  </w:footnote>
  <w:footnote w:id="122">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Gosselin </w:t>
      </w:r>
      <w:r>
        <w:rPr>
          <w:iCs/>
          <w:sz w:val="20"/>
          <w:szCs w:val="20"/>
        </w:rPr>
        <w:t xml:space="preserve">(SCC), </w:t>
      </w:r>
      <w:r>
        <w:rPr>
          <w:i/>
          <w:iCs/>
          <w:sz w:val="20"/>
          <w:szCs w:val="20"/>
        </w:rPr>
        <w:t xml:space="preserve">ibid </w:t>
      </w:r>
      <w:r w:rsidRPr="00976130">
        <w:rPr>
          <w:iCs/>
          <w:sz w:val="20"/>
          <w:szCs w:val="20"/>
        </w:rPr>
        <w:t>at</w:t>
      </w:r>
      <w:r w:rsidRPr="005F3A9B">
        <w:rPr>
          <w:sz w:val="20"/>
          <w:szCs w:val="20"/>
        </w:rPr>
        <w:t xml:space="preserve"> </w:t>
      </w:r>
      <w:r>
        <w:rPr>
          <w:sz w:val="20"/>
          <w:szCs w:val="20"/>
        </w:rPr>
        <w:t xml:space="preserve">para </w:t>
      </w:r>
      <w:r w:rsidRPr="005F3A9B">
        <w:rPr>
          <w:sz w:val="20"/>
          <w:szCs w:val="20"/>
        </w:rPr>
        <w:t>332.</w:t>
      </w:r>
    </w:p>
  </w:footnote>
  <w:footnote w:id="123">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976130">
        <w:rPr>
          <w:iCs/>
          <w:sz w:val="20"/>
          <w:szCs w:val="20"/>
        </w:rPr>
        <w:t>at</w:t>
      </w:r>
      <w:r w:rsidRPr="005F3A9B">
        <w:rPr>
          <w:sz w:val="20"/>
          <w:szCs w:val="20"/>
        </w:rPr>
        <w:t xml:space="preserve"> para 335.</w:t>
      </w:r>
    </w:p>
  </w:footnote>
  <w:footnote w:id="12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 xml:space="preserve">In </w:t>
      </w:r>
      <w:r w:rsidRPr="005F3A9B">
        <w:rPr>
          <w:i/>
          <w:iCs/>
          <w:sz w:val="20"/>
          <w:szCs w:val="20"/>
        </w:rPr>
        <w:t>Gosselin</w:t>
      </w:r>
      <w:r>
        <w:rPr>
          <w:i/>
          <w:iCs/>
          <w:sz w:val="20"/>
          <w:szCs w:val="20"/>
        </w:rPr>
        <w:t xml:space="preserve"> </w:t>
      </w:r>
      <w:r>
        <w:rPr>
          <w:iCs/>
          <w:sz w:val="20"/>
          <w:szCs w:val="20"/>
        </w:rPr>
        <w:t>(SC)</w:t>
      </w:r>
      <w:r w:rsidRPr="005F3A9B">
        <w:rPr>
          <w:iCs/>
          <w:sz w:val="20"/>
          <w:szCs w:val="20"/>
        </w:rPr>
        <w:t xml:space="preserve">, </w:t>
      </w:r>
      <w:r w:rsidRPr="00C425BF">
        <w:rPr>
          <w:i/>
          <w:iCs/>
          <w:sz w:val="20"/>
          <w:szCs w:val="20"/>
        </w:rPr>
        <w:t>supra</w:t>
      </w:r>
      <w:r>
        <w:rPr>
          <w:iCs/>
          <w:sz w:val="20"/>
          <w:szCs w:val="20"/>
        </w:rPr>
        <w:t xml:space="preserve"> note 5, </w:t>
      </w:r>
      <w:r w:rsidRPr="005F3A9B">
        <w:rPr>
          <w:iCs/>
          <w:sz w:val="20"/>
          <w:szCs w:val="20"/>
        </w:rPr>
        <w:t xml:space="preserve">Justice Reeves and the Attorney General of </w:t>
      </w:r>
      <w:r>
        <w:rPr>
          <w:iCs/>
          <w:sz w:val="20"/>
          <w:szCs w:val="20"/>
        </w:rPr>
        <w:t>Québec</w:t>
      </w:r>
      <w:r w:rsidRPr="005F3A9B">
        <w:rPr>
          <w:iCs/>
          <w:sz w:val="20"/>
          <w:szCs w:val="20"/>
        </w:rPr>
        <w:t xml:space="preserve"> also relied on Patrice Garant, “Fundamental Rights and Fundamental Justice”  in  Gérald</w:t>
      </w:r>
      <w:r w:rsidRPr="005F3A9B">
        <w:rPr>
          <w:rFonts w:ascii="MS Mincho" w:eastAsia="MS Mincho" w:hAnsi="MS Mincho" w:cs="MS Mincho" w:hint="eastAsia"/>
          <w:iCs/>
          <w:sz w:val="20"/>
          <w:szCs w:val="20"/>
        </w:rPr>
        <w:t>‑</w:t>
      </w:r>
      <w:r w:rsidRPr="005F3A9B">
        <w:rPr>
          <w:iCs/>
          <w:sz w:val="20"/>
          <w:szCs w:val="20"/>
        </w:rPr>
        <w:t xml:space="preserve">A. Beaudoin &amp; Ed Ratushny, eds, </w:t>
      </w:r>
      <w:r w:rsidRPr="005F3A9B">
        <w:rPr>
          <w:i/>
          <w:iCs/>
          <w:sz w:val="20"/>
          <w:szCs w:val="20"/>
        </w:rPr>
        <w:t>The Canadian Charter of Rights and Freedoms</w:t>
      </w:r>
      <w:r w:rsidRPr="005F3A9B">
        <w:rPr>
          <w:iCs/>
          <w:sz w:val="20"/>
          <w:szCs w:val="20"/>
        </w:rPr>
        <w:t>, 2d. (Toronto: Carswells, 1989) 331</w:t>
      </w:r>
      <w:r>
        <w:rPr>
          <w:sz w:val="20"/>
          <w:szCs w:val="20"/>
        </w:rPr>
        <w:t>.</w:t>
      </w:r>
    </w:p>
  </w:footnote>
  <w:footnote w:id="125">
    <w:p w:rsidR="00B356AA" w:rsidRPr="005F3A9B" w:rsidRDefault="00B356AA" w:rsidP="005F3A9B">
      <w:pPr>
        <w:spacing w:after="0"/>
        <w:rPr>
          <w:sz w:val="20"/>
          <w:szCs w:val="20"/>
        </w:rPr>
      </w:pPr>
      <w:r w:rsidRPr="005F3A9B">
        <w:rPr>
          <w:rStyle w:val="Appelnotedebasdep"/>
          <w:sz w:val="20"/>
          <w:szCs w:val="20"/>
          <w:vertAlign w:val="superscript"/>
        </w:rPr>
        <w:footnoteRef/>
      </w:r>
      <w:r w:rsidRPr="00D278E6">
        <w:rPr>
          <w:i/>
          <w:sz w:val="20"/>
          <w:szCs w:val="20"/>
        </w:rPr>
        <w:t>Gosselin</w:t>
      </w:r>
      <w:r>
        <w:rPr>
          <w:sz w:val="20"/>
          <w:szCs w:val="20"/>
        </w:rPr>
        <w:t xml:space="preserve"> (SC), </w:t>
      </w:r>
      <w:r>
        <w:rPr>
          <w:i/>
          <w:sz w:val="20"/>
          <w:szCs w:val="20"/>
        </w:rPr>
        <w:t>i</w:t>
      </w:r>
      <w:r w:rsidRPr="005F3A9B">
        <w:rPr>
          <w:i/>
          <w:sz w:val="20"/>
          <w:szCs w:val="20"/>
        </w:rPr>
        <w:t xml:space="preserve">bid </w:t>
      </w:r>
      <w:r w:rsidRPr="005F3A9B">
        <w:rPr>
          <w:sz w:val="20"/>
          <w:szCs w:val="20"/>
        </w:rPr>
        <w:t>[auth</w:t>
      </w:r>
      <w:r>
        <w:rPr>
          <w:sz w:val="20"/>
          <w:szCs w:val="20"/>
        </w:rPr>
        <w:t>or’s translation: “We cannot assum</w:t>
      </w:r>
      <w:r w:rsidRPr="005F3A9B">
        <w:rPr>
          <w:sz w:val="20"/>
          <w:szCs w:val="20"/>
        </w:rPr>
        <w:t>e the fa</w:t>
      </w:r>
      <w:r>
        <w:rPr>
          <w:sz w:val="20"/>
          <w:szCs w:val="20"/>
        </w:rPr>
        <w:t>cts upon which the experts bas</w:t>
      </w:r>
      <w:r w:rsidRPr="005F3A9B">
        <w:rPr>
          <w:sz w:val="20"/>
          <w:szCs w:val="20"/>
        </w:rPr>
        <w:t>ed their conclusions and formulated their generalizations to be true.  It is thus highly doubtful that the representative plaintiff, acting on behalf of some 75,000 individuals, has discharged the bu</w:t>
      </w:r>
      <w:r>
        <w:rPr>
          <w:sz w:val="20"/>
          <w:szCs w:val="20"/>
        </w:rPr>
        <w:t>rden of proof as to the negative</w:t>
      </w:r>
      <w:r w:rsidRPr="005F3A9B">
        <w:rPr>
          <w:sz w:val="20"/>
          <w:szCs w:val="20"/>
        </w:rPr>
        <w:t xml:space="preserve"> effects the application of the law had upon them.”].</w:t>
      </w:r>
    </w:p>
  </w:footnote>
  <w:footnote w:id="12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BE7298">
        <w:rPr>
          <w:iCs/>
          <w:sz w:val="20"/>
          <w:szCs w:val="20"/>
        </w:rPr>
        <w:t>at</w:t>
      </w:r>
      <w:r w:rsidRPr="005F3A9B">
        <w:rPr>
          <w:iCs/>
          <w:sz w:val="20"/>
          <w:szCs w:val="20"/>
        </w:rPr>
        <w:t xml:space="preserve"> 1670</w:t>
      </w:r>
      <w:r w:rsidRPr="005F3A9B">
        <w:rPr>
          <w:sz w:val="20"/>
          <w:szCs w:val="20"/>
        </w:rPr>
        <w:t>.</w:t>
      </w:r>
    </w:p>
  </w:footnote>
  <w:footnote w:id="12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sz w:val="20"/>
          <w:szCs w:val="20"/>
        </w:rPr>
        <w:t xml:space="preserve">Ibid </w:t>
      </w:r>
      <w:r w:rsidRPr="005F3A9B">
        <w:rPr>
          <w:sz w:val="20"/>
          <w:szCs w:val="20"/>
        </w:rPr>
        <w:t>at 1676 [author’s translation: “Studies show that the majority of the poor are poor for intrinsic reasons.  They are persons who are under-educated or psychologically vulnerable, or who have a weak work ethic.”].</w:t>
      </w:r>
    </w:p>
  </w:footnote>
  <w:footnote w:id="12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sz w:val="20"/>
          <w:szCs w:val="20"/>
        </w:rPr>
        <w:t xml:space="preserve">Ibid </w:t>
      </w:r>
      <w:r w:rsidRPr="005F3A9B">
        <w:rPr>
          <w:sz w:val="20"/>
          <w:szCs w:val="20"/>
        </w:rPr>
        <w:t xml:space="preserve">at 1676 [author’s translation: “In fact, it is a given that a human being who has developed the qualities of strength, courage, perseverance and discipline </w:t>
      </w:r>
      <w:r>
        <w:rPr>
          <w:sz w:val="20"/>
          <w:szCs w:val="20"/>
        </w:rPr>
        <w:t xml:space="preserve">generally </w:t>
      </w:r>
      <w:r w:rsidRPr="005F3A9B">
        <w:rPr>
          <w:sz w:val="20"/>
          <w:szCs w:val="20"/>
        </w:rPr>
        <w:t xml:space="preserve">overcomes </w:t>
      </w:r>
      <w:r>
        <w:rPr>
          <w:sz w:val="20"/>
          <w:szCs w:val="20"/>
        </w:rPr>
        <w:t xml:space="preserve">and </w:t>
      </w:r>
      <w:r w:rsidRPr="005F3A9B">
        <w:rPr>
          <w:sz w:val="20"/>
          <w:szCs w:val="20"/>
        </w:rPr>
        <w:t xml:space="preserve">masters the educational, psychological and even physical obstacles that could lead </w:t>
      </w:r>
      <w:r>
        <w:rPr>
          <w:sz w:val="20"/>
          <w:szCs w:val="20"/>
        </w:rPr>
        <w:t>them in</w:t>
      </w:r>
      <w:r w:rsidRPr="005F3A9B">
        <w:rPr>
          <w:sz w:val="20"/>
          <w:szCs w:val="20"/>
        </w:rPr>
        <w:t>to material poverty”].</w:t>
      </w:r>
    </w:p>
  </w:footnote>
  <w:footnote w:id="12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BE7298">
        <w:rPr>
          <w:iCs/>
          <w:sz w:val="20"/>
          <w:szCs w:val="20"/>
        </w:rPr>
        <w:t>at</w:t>
      </w:r>
      <w:r w:rsidRPr="005F3A9B">
        <w:rPr>
          <w:sz w:val="20"/>
          <w:szCs w:val="20"/>
        </w:rPr>
        <w:t xml:space="preserve"> 1677.</w:t>
      </w:r>
    </w:p>
  </w:footnote>
  <w:footnote w:id="13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sz w:val="20"/>
          <w:szCs w:val="20"/>
        </w:rPr>
        <w:t>Ibid</w:t>
      </w:r>
      <w:r w:rsidRPr="005F3A9B">
        <w:rPr>
          <w:sz w:val="20"/>
          <w:szCs w:val="20"/>
        </w:rPr>
        <w:t xml:space="preserve"> [author’s translation: “Why does a poor person devote a large portion of his meagre budget to tobacco (and to alcohol)?  This is obviously the use of benign drugs to relieve psychological distress. The conclusion is unavoidable: financial assistance must be combined with education and encouragement to abandon costly and harmful habits. This is the philosophy that underlies the programs offered to those aged 18 to 30 who wish to achieve parity of benefits.”].</w:t>
      </w:r>
    </w:p>
  </w:footnote>
  <w:footnote w:id="131">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Gosselin</w:t>
      </w:r>
      <w:r>
        <w:rPr>
          <w:sz w:val="20"/>
          <w:szCs w:val="20"/>
        </w:rPr>
        <w:t xml:space="preserve"> (SCC)</w:t>
      </w:r>
      <w:r w:rsidRPr="005F3A9B">
        <w:rPr>
          <w:sz w:val="20"/>
          <w:szCs w:val="20"/>
        </w:rPr>
        <w:t xml:space="preserve">, </w:t>
      </w:r>
      <w:r w:rsidRPr="005F3A9B">
        <w:rPr>
          <w:i/>
          <w:iCs/>
          <w:sz w:val="20"/>
          <w:szCs w:val="20"/>
        </w:rPr>
        <w:t>supra</w:t>
      </w:r>
      <w:r w:rsidRPr="005F3A9B">
        <w:rPr>
          <w:sz w:val="20"/>
          <w:szCs w:val="20"/>
        </w:rPr>
        <w:t xml:space="preserve"> note </w:t>
      </w:r>
      <w:r>
        <w:rPr>
          <w:sz w:val="20"/>
          <w:szCs w:val="20"/>
        </w:rPr>
        <w:t>5</w:t>
      </w:r>
      <w:r w:rsidRPr="005F3A9B">
        <w:rPr>
          <w:sz w:val="20"/>
          <w:szCs w:val="20"/>
        </w:rPr>
        <w:t xml:space="preserve"> at paras 46-47</w:t>
      </w:r>
      <w:r>
        <w:rPr>
          <w:sz w:val="20"/>
          <w:szCs w:val="20"/>
        </w:rPr>
        <w:t>.</w:t>
      </w:r>
    </w:p>
  </w:footnote>
  <w:footnote w:id="13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BE7298">
        <w:rPr>
          <w:iCs/>
          <w:sz w:val="20"/>
          <w:szCs w:val="20"/>
        </w:rPr>
        <w:t>at</w:t>
      </w:r>
      <w:r w:rsidRPr="005F3A9B">
        <w:rPr>
          <w:iCs/>
          <w:sz w:val="20"/>
          <w:szCs w:val="20"/>
        </w:rPr>
        <w:t xml:space="preserve"> paras 82-83</w:t>
      </w:r>
      <w:r w:rsidRPr="005F3A9B">
        <w:rPr>
          <w:sz w:val="20"/>
          <w:szCs w:val="20"/>
        </w:rPr>
        <w:t>.</w:t>
      </w:r>
    </w:p>
  </w:footnote>
  <w:footnote w:id="133">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BE7298">
        <w:rPr>
          <w:iCs/>
          <w:sz w:val="20"/>
          <w:szCs w:val="20"/>
        </w:rPr>
        <w:t>at</w:t>
      </w:r>
      <w:r w:rsidRPr="005F3A9B">
        <w:rPr>
          <w:sz w:val="20"/>
          <w:szCs w:val="20"/>
        </w:rPr>
        <w:t xml:space="preserve"> </w:t>
      </w:r>
      <w:r>
        <w:rPr>
          <w:sz w:val="20"/>
          <w:szCs w:val="20"/>
        </w:rPr>
        <w:t xml:space="preserve">para </w:t>
      </w:r>
      <w:r w:rsidRPr="005F3A9B">
        <w:rPr>
          <w:sz w:val="20"/>
          <w:szCs w:val="20"/>
        </w:rPr>
        <w:t>66.</w:t>
      </w:r>
    </w:p>
  </w:footnote>
  <w:footnote w:id="134">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BE7298">
        <w:rPr>
          <w:iCs/>
          <w:sz w:val="20"/>
          <w:szCs w:val="20"/>
        </w:rPr>
        <w:t>at</w:t>
      </w:r>
      <w:r w:rsidRPr="005F3A9B">
        <w:rPr>
          <w:sz w:val="20"/>
          <w:szCs w:val="20"/>
        </w:rPr>
        <w:t xml:space="preserve"> </w:t>
      </w:r>
      <w:r>
        <w:rPr>
          <w:sz w:val="20"/>
          <w:szCs w:val="20"/>
        </w:rPr>
        <w:t xml:space="preserve">para </w:t>
      </w:r>
      <w:r w:rsidRPr="005F3A9B">
        <w:rPr>
          <w:sz w:val="20"/>
          <w:szCs w:val="20"/>
        </w:rPr>
        <w:t>43.</w:t>
      </w:r>
    </w:p>
  </w:footnote>
  <w:footnote w:id="13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p>
  </w:footnote>
  <w:footnote w:id="13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p>
  </w:footnote>
  <w:footnote w:id="13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BE7298">
        <w:rPr>
          <w:iCs/>
          <w:sz w:val="20"/>
          <w:szCs w:val="20"/>
        </w:rPr>
        <w:t>at</w:t>
      </w:r>
      <w:r w:rsidRPr="005F3A9B">
        <w:rPr>
          <w:iCs/>
          <w:sz w:val="20"/>
          <w:szCs w:val="20"/>
        </w:rPr>
        <w:t xml:space="preserve"> paras 158-163; 276-285.</w:t>
      </w:r>
    </w:p>
  </w:footnote>
  <w:footnote w:id="138">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Ibid</w:t>
      </w:r>
      <w:r w:rsidRPr="005F3A9B">
        <w:rPr>
          <w:sz w:val="20"/>
          <w:szCs w:val="20"/>
        </w:rPr>
        <w:t xml:space="preserve"> (</w:t>
      </w:r>
      <w:r w:rsidRPr="005F3A9B">
        <w:rPr>
          <w:i/>
          <w:iCs/>
          <w:sz w:val="20"/>
          <w:szCs w:val="20"/>
        </w:rPr>
        <w:t>Factum of the Appellant</w:t>
      </w:r>
      <w:r>
        <w:rPr>
          <w:iCs/>
          <w:sz w:val="20"/>
          <w:szCs w:val="20"/>
        </w:rPr>
        <w:t xml:space="preserve"> at paras 114-128).</w:t>
      </w:r>
    </w:p>
  </w:footnote>
  <w:footnote w:id="139">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I</w:t>
      </w:r>
      <w:r w:rsidRPr="00D278E6">
        <w:rPr>
          <w:i/>
          <w:iCs/>
          <w:sz w:val="20"/>
          <w:szCs w:val="20"/>
        </w:rPr>
        <w:t>bid</w:t>
      </w:r>
      <w:r>
        <w:rPr>
          <w:i/>
          <w:iCs/>
          <w:sz w:val="20"/>
          <w:szCs w:val="20"/>
        </w:rPr>
        <w:t xml:space="preserve"> </w:t>
      </w:r>
      <w:r w:rsidRPr="00BE7298">
        <w:rPr>
          <w:iCs/>
          <w:sz w:val="20"/>
          <w:szCs w:val="20"/>
        </w:rPr>
        <w:t>at</w:t>
      </w:r>
      <w:r w:rsidRPr="005F3A9B">
        <w:rPr>
          <w:sz w:val="20"/>
          <w:szCs w:val="20"/>
        </w:rPr>
        <w:t xml:space="preserve"> </w:t>
      </w:r>
      <w:r>
        <w:rPr>
          <w:sz w:val="20"/>
          <w:szCs w:val="20"/>
        </w:rPr>
        <w:t xml:space="preserve">para </w:t>
      </w:r>
      <w:r w:rsidRPr="005F3A9B">
        <w:rPr>
          <w:sz w:val="20"/>
          <w:szCs w:val="20"/>
        </w:rPr>
        <w:t>47.</w:t>
      </w:r>
    </w:p>
  </w:footnote>
  <w:footnote w:id="14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BE7298">
        <w:rPr>
          <w:iCs/>
          <w:sz w:val="20"/>
          <w:szCs w:val="20"/>
        </w:rPr>
        <w:t>at</w:t>
      </w:r>
      <w:r w:rsidRPr="005F3A9B">
        <w:rPr>
          <w:sz w:val="20"/>
          <w:szCs w:val="20"/>
        </w:rPr>
        <w:t xml:space="preserve"> paras 8, 48.</w:t>
      </w:r>
    </w:p>
  </w:footnote>
  <w:footnote w:id="141">
    <w:p w:rsidR="00B356AA" w:rsidRPr="005F3A9B" w:rsidRDefault="00B356AA" w:rsidP="004205B5">
      <w:pPr>
        <w:spacing w:after="0"/>
        <w:rPr>
          <w:sz w:val="20"/>
          <w:szCs w:val="20"/>
        </w:rPr>
      </w:pPr>
      <w:r w:rsidRPr="005F3A9B">
        <w:rPr>
          <w:rStyle w:val="Appelnotedebasdep"/>
          <w:sz w:val="20"/>
          <w:szCs w:val="20"/>
          <w:vertAlign w:val="superscript"/>
        </w:rPr>
        <w:footnoteRef/>
      </w:r>
      <w:r>
        <w:rPr>
          <w:sz w:val="20"/>
          <w:szCs w:val="20"/>
        </w:rPr>
        <w:t xml:space="preserve">For a critique of this aspect of the </w:t>
      </w:r>
      <w:r w:rsidRPr="00FA5BC4">
        <w:rPr>
          <w:i/>
          <w:sz w:val="20"/>
          <w:szCs w:val="20"/>
        </w:rPr>
        <w:t>Gosselin</w:t>
      </w:r>
      <w:r>
        <w:rPr>
          <w:sz w:val="20"/>
          <w:szCs w:val="20"/>
        </w:rPr>
        <w:t xml:space="preserve"> decision see: Martha Jackman, “Reality Checks: Presuming Innocence and Proving Guilt in </w:t>
      </w:r>
      <w:r w:rsidRPr="00FA5BC4">
        <w:rPr>
          <w:i/>
          <w:sz w:val="20"/>
          <w:szCs w:val="20"/>
        </w:rPr>
        <w:t>Charter</w:t>
      </w:r>
      <w:r>
        <w:rPr>
          <w:sz w:val="20"/>
          <w:szCs w:val="20"/>
        </w:rPr>
        <w:t xml:space="preserve"> Welfare Cases” in Young et al, </w:t>
      </w:r>
      <w:r w:rsidRPr="00FA5BC4">
        <w:rPr>
          <w:i/>
          <w:sz w:val="20"/>
          <w:szCs w:val="20"/>
        </w:rPr>
        <w:t>Poverty: Rights</w:t>
      </w:r>
      <w:r>
        <w:rPr>
          <w:sz w:val="20"/>
          <w:szCs w:val="20"/>
        </w:rPr>
        <w:t xml:space="preserve">, </w:t>
      </w:r>
      <w:r w:rsidRPr="00FA5BC4">
        <w:rPr>
          <w:i/>
          <w:sz w:val="20"/>
          <w:szCs w:val="20"/>
        </w:rPr>
        <w:t>supra</w:t>
      </w:r>
      <w:r>
        <w:rPr>
          <w:sz w:val="20"/>
          <w:szCs w:val="20"/>
        </w:rPr>
        <w:t xml:space="preserve"> note 54 23; Natasha Kim &amp; Tina Piper, “</w:t>
      </w:r>
      <w:r w:rsidRPr="005F1CE4">
        <w:rPr>
          <w:i/>
          <w:sz w:val="20"/>
          <w:szCs w:val="20"/>
        </w:rPr>
        <w:t xml:space="preserve">Gosselin v </w:t>
      </w:r>
      <w:r>
        <w:rPr>
          <w:i/>
          <w:sz w:val="20"/>
          <w:szCs w:val="20"/>
        </w:rPr>
        <w:t>Québec</w:t>
      </w:r>
      <w:r>
        <w:rPr>
          <w:sz w:val="20"/>
          <w:szCs w:val="20"/>
        </w:rPr>
        <w:t>: Back to the Poorhouse” (2003) 48 McGill LJ</w:t>
      </w:r>
      <w:r w:rsidRPr="00D278E6">
        <w:rPr>
          <w:sz w:val="20"/>
          <w:szCs w:val="20"/>
        </w:rPr>
        <w:t xml:space="preserve"> 749</w:t>
      </w:r>
      <w:r>
        <w:rPr>
          <w:sz w:val="20"/>
          <w:szCs w:val="20"/>
        </w:rPr>
        <w:t>.</w:t>
      </w:r>
    </w:p>
  </w:footnote>
  <w:footnote w:id="142">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Gosselin</w:t>
      </w:r>
      <w:r>
        <w:rPr>
          <w:iCs/>
          <w:sz w:val="20"/>
          <w:szCs w:val="20"/>
        </w:rPr>
        <w:t xml:space="preserve"> (SCC), </w:t>
      </w:r>
      <w:r w:rsidRPr="004D4B40">
        <w:rPr>
          <w:i/>
          <w:iCs/>
          <w:sz w:val="20"/>
          <w:szCs w:val="20"/>
        </w:rPr>
        <w:t>supra</w:t>
      </w:r>
      <w:r>
        <w:rPr>
          <w:iCs/>
          <w:sz w:val="20"/>
          <w:szCs w:val="20"/>
        </w:rPr>
        <w:t xml:space="preserve"> note 5</w:t>
      </w:r>
      <w:r>
        <w:rPr>
          <w:i/>
          <w:iCs/>
          <w:sz w:val="20"/>
          <w:szCs w:val="20"/>
        </w:rPr>
        <w:t xml:space="preserve"> </w:t>
      </w:r>
      <w:r w:rsidRPr="00BE7298">
        <w:rPr>
          <w:iCs/>
          <w:sz w:val="20"/>
          <w:szCs w:val="20"/>
        </w:rPr>
        <w:t>at</w:t>
      </w:r>
      <w:r>
        <w:rPr>
          <w:sz w:val="20"/>
          <w:szCs w:val="20"/>
        </w:rPr>
        <w:t xml:space="preserve"> paras</w:t>
      </w:r>
      <w:r w:rsidRPr="005F3A9B">
        <w:rPr>
          <w:sz w:val="20"/>
          <w:szCs w:val="20"/>
        </w:rPr>
        <w:t xml:space="preserve"> 373-377.</w:t>
      </w:r>
    </w:p>
  </w:footnote>
  <w:footnote w:id="143">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BE7298">
        <w:rPr>
          <w:iCs/>
          <w:sz w:val="20"/>
          <w:szCs w:val="20"/>
        </w:rPr>
        <w:t>at</w:t>
      </w:r>
      <w:r w:rsidRPr="005F3A9B">
        <w:rPr>
          <w:sz w:val="20"/>
          <w:szCs w:val="20"/>
        </w:rPr>
        <w:t xml:space="preserve"> </w:t>
      </w:r>
      <w:r>
        <w:rPr>
          <w:sz w:val="20"/>
          <w:szCs w:val="20"/>
        </w:rPr>
        <w:t xml:space="preserve">para </w:t>
      </w:r>
      <w:r w:rsidRPr="005F3A9B">
        <w:rPr>
          <w:sz w:val="20"/>
          <w:szCs w:val="20"/>
        </w:rPr>
        <w:t>392.</w:t>
      </w:r>
    </w:p>
  </w:footnote>
  <w:footnote w:id="14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p>
  </w:footnote>
  <w:footnote w:id="14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371.</w:t>
      </w:r>
    </w:p>
  </w:footnote>
  <w:footnote w:id="14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w:t>
      </w:r>
      <w:r>
        <w:rPr>
          <w:sz w:val="20"/>
          <w:szCs w:val="20"/>
        </w:rPr>
        <w:t xml:space="preserve">para </w:t>
      </w:r>
      <w:r w:rsidRPr="005F3A9B">
        <w:rPr>
          <w:sz w:val="20"/>
          <w:szCs w:val="20"/>
        </w:rPr>
        <w:t>409.</w:t>
      </w:r>
    </w:p>
  </w:footnote>
  <w:footnote w:id="147">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w:t>
      </w:r>
      <w:r>
        <w:rPr>
          <w:sz w:val="20"/>
          <w:szCs w:val="20"/>
        </w:rPr>
        <w:t xml:space="preserve">para </w:t>
      </w:r>
      <w:r w:rsidRPr="005F3A9B">
        <w:rPr>
          <w:sz w:val="20"/>
          <w:szCs w:val="20"/>
        </w:rPr>
        <w:t>410.</w:t>
      </w:r>
    </w:p>
  </w:footnote>
  <w:footnote w:id="148">
    <w:p w:rsidR="00B356AA" w:rsidRPr="005F3A9B" w:rsidRDefault="00B356AA" w:rsidP="00BE58A4">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sz w:val="20"/>
          <w:szCs w:val="20"/>
        </w:rPr>
        <w:t xml:space="preserve"> at paras 82-83.</w:t>
      </w:r>
    </w:p>
  </w:footnote>
  <w:footnote w:id="149">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w:t>
      </w:r>
      <w:r>
        <w:rPr>
          <w:sz w:val="20"/>
          <w:szCs w:val="20"/>
        </w:rPr>
        <w:t xml:space="preserve">para </w:t>
      </w:r>
      <w:r w:rsidRPr="005F3A9B">
        <w:rPr>
          <w:sz w:val="20"/>
          <w:szCs w:val="20"/>
        </w:rPr>
        <w:t>76.</w:t>
      </w:r>
    </w:p>
  </w:footnote>
  <w:footnote w:id="150">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paras 373-375.</w:t>
      </w:r>
    </w:p>
  </w:footnote>
  <w:footnote w:id="151">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paras 376.</w:t>
      </w:r>
    </w:p>
  </w:footnote>
  <w:footnote w:id="152">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w:t>
      </w:r>
      <w:r>
        <w:rPr>
          <w:sz w:val="20"/>
          <w:szCs w:val="20"/>
        </w:rPr>
        <w:t xml:space="preserve">para </w:t>
      </w:r>
      <w:r w:rsidRPr="005F3A9B">
        <w:rPr>
          <w:sz w:val="20"/>
          <w:szCs w:val="20"/>
        </w:rPr>
        <w:t>377.</w:t>
      </w:r>
    </w:p>
  </w:footnote>
  <w:footnote w:id="153">
    <w:p w:rsidR="00B356AA" w:rsidRPr="005F3A9B" w:rsidRDefault="00B356AA" w:rsidP="00BE58A4">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para 141.</w:t>
      </w:r>
    </w:p>
  </w:footnote>
  <w:footnote w:id="154">
    <w:p w:rsidR="00B356AA" w:rsidRPr="005F3A9B" w:rsidRDefault="00B356AA" w:rsidP="00BE58A4">
      <w:pPr>
        <w:spacing w:after="0"/>
        <w:rPr>
          <w:sz w:val="20"/>
          <w:szCs w:val="20"/>
        </w:rPr>
      </w:pPr>
      <w:r w:rsidRPr="005F3A9B">
        <w:rPr>
          <w:rStyle w:val="Appelnotedebasdep"/>
          <w:sz w:val="20"/>
          <w:szCs w:val="20"/>
          <w:vertAlign w:val="superscript"/>
        </w:rPr>
        <w:footnoteRef/>
      </w:r>
      <w:r>
        <w:rPr>
          <w:i/>
          <w:iCs/>
          <w:sz w:val="20"/>
          <w:szCs w:val="20"/>
        </w:rPr>
        <w:t xml:space="preserve">Ibid </w:t>
      </w:r>
      <w:r w:rsidRPr="00823A84">
        <w:rPr>
          <w:iCs/>
          <w:sz w:val="20"/>
          <w:szCs w:val="20"/>
        </w:rPr>
        <w:t>at</w:t>
      </w:r>
      <w:r w:rsidRPr="005F3A9B">
        <w:rPr>
          <w:sz w:val="20"/>
          <w:szCs w:val="20"/>
        </w:rPr>
        <w:t xml:space="preserve"> para 130.</w:t>
      </w:r>
    </w:p>
  </w:footnote>
  <w:footnote w:id="155">
    <w:p w:rsidR="00B356AA" w:rsidRDefault="00B356AA" w:rsidP="00D12376">
      <w:pPr>
        <w:spacing w:after="0"/>
        <w:rPr>
          <w:iCs/>
          <w:sz w:val="20"/>
          <w:szCs w:val="20"/>
        </w:rPr>
      </w:pPr>
      <w:r w:rsidRPr="005F3A9B">
        <w:rPr>
          <w:rStyle w:val="Appelnotedebasdep"/>
          <w:sz w:val="20"/>
          <w:szCs w:val="20"/>
          <w:vertAlign w:val="superscript"/>
        </w:rPr>
        <w:footnoteRef/>
      </w:r>
      <w:r>
        <w:rPr>
          <w:iCs/>
          <w:sz w:val="20"/>
          <w:szCs w:val="20"/>
        </w:rPr>
        <w:t xml:space="preserve">See for example </w:t>
      </w:r>
      <w:r w:rsidRPr="00D12376">
        <w:rPr>
          <w:i/>
          <w:iCs/>
          <w:sz w:val="20"/>
          <w:szCs w:val="20"/>
        </w:rPr>
        <w:t>R v Banks</w:t>
      </w:r>
      <w:r w:rsidRPr="00D12376">
        <w:rPr>
          <w:iCs/>
          <w:sz w:val="20"/>
          <w:szCs w:val="20"/>
        </w:rPr>
        <w:t xml:space="preserve"> (2001), 55 O.R. (3d) 374</w:t>
      </w:r>
      <w:r>
        <w:rPr>
          <w:iCs/>
          <w:sz w:val="20"/>
          <w:szCs w:val="20"/>
        </w:rPr>
        <w:t xml:space="preserve"> (Ont CJ)</w:t>
      </w:r>
      <w:r w:rsidRPr="00D12376">
        <w:rPr>
          <w:iCs/>
          <w:sz w:val="20"/>
          <w:szCs w:val="20"/>
        </w:rPr>
        <w:t xml:space="preserve"> [</w:t>
      </w:r>
      <w:r w:rsidRPr="00D12376">
        <w:rPr>
          <w:i/>
          <w:iCs/>
          <w:sz w:val="20"/>
          <w:szCs w:val="20"/>
        </w:rPr>
        <w:t>Banks</w:t>
      </w:r>
      <w:r w:rsidRPr="00D12376">
        <w:rPr>
          <w:iCs/>
          <w:sz w:val="20"/>
          <w:szCs w:val="20"/>
        </w:rPr>
        <w:t xml:space="preserve"> (CJ)]</w:t>
      </w:r>
      <w:r>
        <w:rPr>
          <w:iCs/>
          <w:sz w:val="20"/>
          <w:szCs w:val="20"/>
        </w:rPr>
        <w:t xml:space="preserve"> where the Ontario Court of Justice dismissed a </w:t>
      </w:r>
      <w:r w:rsidRPr="00C34B75">
        <w:rPr>
          <w:i/>
          <w:iCs/>
          <w:sz w:val="20"/>
          <w:szCs w:val="20"/>
        </w:rPr>
        <w:t>Charter</w:t>
      </w:r>
      <w:r>
        <w:rPr>
          <w:iCs/>
          <w:sz w:val="20"/>
          <w:szCs w:val="20"/>
        </w:rPr>
        <w:t xml:space="preserve"> challenge to the Ontario </w:t>
      </w:r>
      <w:r>
        <w:rPr>
          <w:i/>
          <w:iCs/>
          <w:sz w:val="20"/>
          <w:szCs w:val="20"/>
        </w:rPr>
        <w:t>Safe Streets A</w:t>
      </w:r>
      <w:r w:rsidRPr="00CC1C3B">
        <w:rPr>
          <w:i/>
          <w:iCs/>
          <w:sz w:val="20"/>
          <w:szCs w:val="20"/>
        </w:rPr>
        <w:t>ct</w:t>
      </w:r>
      <w:r>
        <w:rPr>
          <w:iCs/>
          <w:sz w:val="20"/>
          <w:szCs w:val="20"/>
        </w:rPr>
        <w:t xml:space="preserve"> and convicted the claimants of panhandling.  Babe J. commented at 404, in relation to the section 15 evidence, that: </w:t>
      </w:r>
    </w:p>
    <w:p w:rsidR="00B356AA" w:rsidRDefault="00B356AA" w:rsidP="00A37F01">
      <w:pPr>
        <w:spacing w:after="0"/>
        <w:ind w:left="567" w:right="567"/>
        <w:rPr>
          <w:iCs/>
          <w:sz w:val="20"/>
          <w:szCs w:val="20"/>
        </w:rPr>
      </w:pPr>
      <w:r w:rsidRPr="00CC1C3B">
        <w:rPr>
          <w:iCs/>
          <w:sz w:val="20"/>
          <w:szCs w:val="20"/>
        </w:rPr>
        <w:t>Much of the affidavit material filed by the defendants consists of complaints about the general thrust of current provincial social policy in Ontario; the affiants all have an obvious socio-economic and political perspective that is diametrically opposed to that of the government of the day. It is, however, frankly difficult to discern how the legislation in question in itself can be said to have</w:t>
      </w:r>
      <w:r>
        <w:rPr>
          <w:iCs/>
          <w:sz w:val="20"/>
          <w:szCs w:val="20"/>
        </w:rPr>
        <w:t xml:space="preserve"> a prejudicial effect on their ‘essential human dignity’</w:t>
      </w:r>
      <w:r w:rsidRPr="00CC1C3B">
        <w:rPr>
          <w:iCs/>
          <w:sz w:val="20"/>
          <w:szCs w:val="20"/>
        </w:rPr>
        <w:t xml:space="preserve"> by placing restrictions on the place and manner of solicitation.</w:t>
      </w:r>
    </w:p>
    <w:p w:rsidR="00B356AA" w:rsidRPr="005F3A9B" w:rsidRDefault="00B356AA" w:rsidP="00D12376">
      <w:pPr>
        <w:spacing w:after="0"/>
        <w:rPr>
          <w:sz w:val="20"/>
          <w:szCs w:val="20"/>
        </w:rPr>
      </w:pPr>
      <w:r>
        <w:rPr>
          <w:iCs/>
          <w:sz w:val="20"/>
          <w:szCs w:val="20"/>
        </w:rPr>
        <w:t>Babe J was even more emphatic in relation to the claimants’ evidence in support of their section 2 argument, stating at 409 that: “</w:t>
      </w:r>
      <w:r w:rsidRPr="001122E3">
        <w:rPr>
          <w:iCs/>
          <w:sz w:val="20"/>
          <w:szCs w:val="20"/>
        </w:rPr>
        <w:t>I find assertions by affiants and authors relied upon by the defence to the contrary unconvincing; it may be that they consider the presence of aggressive beggars in the streets conducive to the advancement of their own socio-political points of view, but there is no evidence at all that the defendants themselves or others like them are intending to make a political point by soliciting for funds.</w:t>
      </w:r>
      <w:r>
        <w:rPr>
          <w:iCs/>
          <w:sz w:val="20"/>
          <w:szCs w:val="20"/>
        </w:rPr>
        <w:t>”</w:t>
      </w:r>
    </w:p>
  </w:footnote>
  <w:footnote w:id="156">
    <w:p w:rsidR="00B356AA" w:rsidRPr="00823A84" w:rsidRDefault="00B356AA" w:rsidP="00445EFB">
      <w:pPr>
        <w:spacing w:after="0"/>
        <w:rPr>
          <w:iCs/>
          <w:sz w:val="20"/>
          <w:szCs w:val="20"/>
        </w:rPr>
      </w:pPr>
      <w:r w:rsidRPr="005F3A9B">
        <w:rPr>
          <w:rStyle w:val="Appelnotedebasdep"/>
          <w:sz w:val="20"/>
          <w:szCs w:val="20"/>
          <w:vertAlign w:val="superscript"/>
        </w:rPr>
        <w:footnoteRef/>
      </w:r>
      <w:r>
        <w:rPr>
          <w:iCs/>
          <w:sz w:val="20"/>
          <w:szCs w:val="20"/>
        </w:rPr>
        <w:t xml:space="preserve">See for example </w:t>
      </w:r>
      <w:r w:rsidRPr="00D12376">
        <w:rPr>
          <w:i/>
          <w:iCs/>
          <w:sz w:val="20"/>
          <w:szCs w:val="20"/>
        </w:rPr>
        <w:t>Toussaint v Canada</w:t>
      </w:r>
      <w:r w:rsidRPr="00D12376">
        <w:rPr>
          <w:iCs/>
          <w:sz w:val="20"/>
          <w:szCs w:val="20"/>
        </w:rPr>
        <w:t>, 2011 FCA 213</w:t>
      </w:r>
      <w:r>
        <w:rPr>
          <w:iCs/>
          <w:sz w:val="20"/>
          <w:szCs w:val="20"/>
        </w:rPr>
        <w:t xml:space="preserve"> at para 113</w:t>
      </w:r>
      <w:r w:rsidRPr="00D12376">
        <w:rPr>
          <w:iCs/>
          <w:sz w:val="20"/>
          <w:szCs w:val="20"/>
        </w:rPr>
        <w:t xml:space="preserve"> [</w:t>
      </w:r>
      <w:r w:rsidRPr="00D12376">
        <w:rPr>
          <w:i/>
          <w:iCs/>
          <w:sz w:val="20"/>
          <w:szCs w:val="20"/>
        </w:rPr>
        <w:t>Toussaint</w:t>
      </w:r>
      <w:r>
        <w:rPr>
          <w:iCs/>
          <w:sz w:val="20"/>
          <w:szCs w:val="20"/>
        </w:rPr>
        <w:t xml:space="preserve"> (FCA)], where Justice Stratas ignored the expert evidence to the contrary and rejected a </w:t>
      </w:r>
      <w:r w:rsidRPr="00C727D1">
        <w:rPr>
          <w:i/>
          <w:iCs/>
          <w:sz w:val="20"/>
          <w:szCs w:val="20"/>
        </w:rPr>
        <w:t>Charter</w:t>
      </w:r>
      <w:r>
        <w:rPr>
          <w:iCs/>
          <w:sz w:val="20"/>
          <w:szCs w:val="20"/>
        </w:rPr>
        <w:t xml:space="preserve"> challenge to the denial of federal health coverage to an undocumented migrant, on the grounds that: “</w:t>
      </w:r>
      <w:r w:rsidRPr="00C727D1">
        <w:rPr>
          <w:iCs/>
          <w:sz w:val="20"/>
          <w:szCs w:val="20"/>
        </w:rPr>
        <w:t>If the appellant were to prevail in this case and receive medical coverage under the Order in Council without complying with Canada’s immigration laws, others could be expected to come to Canada and do the same. Soon, as the Federal Court warned, Canada could become a health care safe haven, its immigration laws undermined.</w:t>
      </w:r>
      <w:r>
        <w:rPr>
          <w:iCs/>
          <w:sz w:val="20"/>
          <w:szCs w:val="20"/>
        </w:rPr>
        <w:t xml:space="preserve">”  See: </w:t>
      </w:r>
      <w:r w:rsidRPr="006856BD">
        <w:rPr>
          <w:i/>
          <w:iCs/>
          <w:sz w:val="20"/>
          <w:szCs w:val="20"/>
        </w:rPr>
        <w:t>Nell Toussaint v Canada</w:t>
      </w:r>
      <w:r w:rsidRPr="006856BD">
        <w:rPr>
          <w:iCs/>
          <w:sz w:val="20"/>
          <w:szCs w:val="20"/>
        </w:rPr>
        <w:t>, UN Human Rights Committee, Communication No. 2348/2014. Petition filed on November 27, 2013 by Andrew Dekany and Bruce Porter on behalf of Nell Toussaint</w:t>
      </w:r>
      <w:r>
        <w:rPr>
          <w:iCs/>
          <w:sz w:val="20"/>
          <w:szCs w:val="20"/>
        </w:rPr>
        <w:t xml:space="preserve">, </w:t>
      </w:r>
      <w:r w:rsidRPr="006856BD">
        <w:rPr>
          <w:iCs/>
          <w:sz w:val="20"/>
          <w:szCs w:val="20"/>
        </w:rPr>
        <w:t xml:space="preserve">paras 43-46, 54-56. Online: </w:t>
      </w:r>
      <w:r w:rsidRPr="00DC4F84">
        <w:rPr>
          <w:iCs/>
          <w:sz w:val="20"/>
          <w:szCs w:val="20"/>
        </w:rPr>
        <w:t>http://www.socialrightscura.ca/documents/legal/tousaint%20IFBH/Toussaint%20v%20Canada%20HRC%20No%202348-2014.pdf</w:t>
      </w:r>
      <w:r>
        <w:rPr>
          <w:iCs/>
          <w:sz w:val="20"/>
          <w:szCs w:val="20"/>
        </w:rPr>
        <w:t>; and see generally: David Wiseman, “</w:t>
      </w:r>
      <w:r w:rsidRPr="00424CAE">
        <w:rPr>
          <w:iCs/>
          <w:sz w:val="20"/>
          <w:szCs w:val="20"/>
        </w:rPr>
        <w:t>Managing the Burden of Doubt: Socia</w:t>
      </w:r>
      <w:r>
        <w:rPr>
          <w:iCs/>
          <w:sz w:val="20"/>
          <w:szCs w:val="20"/>
        </w:rPr>
        <w:t xml:space="preserve">l Science Evidence, </w:t>
      </w:r>
      <w:r w:rsidRPr="00424CAE">
        <w:rPr>
          <w:iCs/>
          <w:sz w:val="20"/>
          <w:szCs w:val="20"/>
        </w:rPr>
        <w:t>the Institutional Competence of Courts, an</w:t>
      </w:r>
      <w:r>
        <w:rPr>
          <w:iCs/>
          <w:sz w:val="20"/>
          <w:szCs w:val="20"/>
        </w:rPr>
        <w:t xml:space="preserve">d the Prospects for Anti-poverty </w:t>
      </w:r>
      <w:r w:rsidRPr="00424CAE">
        <w:rPr>
          <w:i/>
          <w:iCs/>
          <w:sz w:val="20"/>
          <w:szCs w:val="20"/>
        </w:rPr>
        <w:t>Charter</w:t>
      </w:r>
      <w:r>
        <w:rPr>
          <w:iCs/>
          <w:sz w:val="20"/>
          <w:szCs w:val="20"/>
        </w:rPr>
        <w:t xml:space="preserve"> Claims”</w:t>
      </w:r>
      <w:r w:rsidRPr="00424CAE">
        <w:rPr>
          <w:iCs/>
          <w:sz w:val="20"/>
          <w:szCs w:val="20"/>
        </w:rPr>
        <w:t xml:space="preserve"> (2014) 33</w:t>
      </w:r>
      <w:r>
        <w:rPr>
          <w:iCs/>
          <w:sz w:val="20"/>
          <w:szCs w:val="20"/>
        </w:rPr>
        <w:t xml:space="preserve"> NJCL</w:t>
      </w:r>
      <w:r w:rsidRPr="00424CAE">
        <w:rPr>
          <w:iCs/>
          <w:sz w:val="20"/>
          <w:szCs w:val="20"/>
        </w:rPr>
        <w:t xml:space="preserve"> 1</w:t>
      </w:r>
      <w:r>
        <w:rPr>
          <w:iCs/>
          <w:sz w:val="20"/>
          <w:szCs w:val="20"/>
        </w:rPr>
        <w:t xml:space="preserve">; </w:t>
      </w:r>
      <w:r w:rsidRPr="00445EFB">
        <w:rPr>
          <w:iCs/>
          <w:sz w:val="20"/>
          <w:szCs w:val="20"/>
        </w:rPr>
        <w:t>Jennie Abell, “Poverty and Social Justice at the Supreme Co</w:t>
      </w:r>
      <w:r>
        <w:rPr>
          <w:iCs/>
          <w:sz w:val="20"/>
          <w:szCs w:val="20"/>
        </w:rPr>
        <w:t xml:space="preserve">urt during the McLachlin Years: Slipsliding Away” 50 SCLR (2d) 257 [Abell, “Poverty and Social Justice”]; </w:t>
      </w:r>
      <w:r w:rsidRPr="00823A84">
        <w:rPr>
          <w:iCs/>
          <w:sz w:val="20"/>
          <w:szCs w:val="20"/>
        </w:rPr>
        <w:t>Fai</w:t>
      </w:r>
      <w:r>
        <w:rPr>
          <w:iCs/>
          <w:sz w:val="20"/>
          <w:szCs w:val="20"/>
        </w:rPr>
        <w:t xml:space="preserve">sal Bhabha, “Institutionalizing </w:t>
      </w:r>
      <w:r w:rsidRPr="00823A84">
        <w:rPr>
          <w:iCs/>
          <w:sz w:val="20"/>
          <w:szCs w:val="20"/>
        </w:rPr>
        <w:t>Access-to-Justice: Judic</w:t>
      </w:r>
      <w:r>
        <w:rPr>
          <w:iCs/>
          <w:sz w:val="20"/>
          <w:szCs w:val="20"/>
        </w:rPr>
        <w:t xml:space="preserve">ial, Legislative and Grassroots </w:t>
      </w:r>
      <w:r w:rsidRPr="00823A84">
        <w:rPr>
          <w:iCs/>
          <w:sz w:val="20"/>
          <w:szCs w:val="20"/>
        </w:rPr>
        <w:t>Di</w:t>
      </w:r>
      <w:r>
        <w:rPr>
          <w:iCs/>
          <w:sz w:val="20"/>
          <w:szCs w:val="20"/>
        </w:rPr>
        <w:t>mensions” (2007) 33 Queen’s LJ</w:t>
      </w:r>
      <w:r w:rsidRPr="00823A84">
        <w:rPr>
          <w:iCs/>
          <w:sz w:val="20"/>
          <w:szCs w:val="20"/>
        </w:rPr>
        <w:t xml:space="preserve"> 139</w:t>
      </w:r>
      <w:r>
        <w:rPr>
          <w:iCs/>
          <w:sz w:val="20"/>
          <w:szCs w:val="20"/>
        </w:rPr>
        <w:t xml:space="preserve">; Patricia Cochran, </w:t>
      </w:r>
      <w:r w:rsidRPr="00445EFB">
        <w:rPr>
          <w:iCs/>
          <w:sz w:val="20"/>
          <w:szCs w:val="20"/>
        </w:rPr>
        <w:t xml:space="preserve">“Taking Notice: Judicial Notice and the ‘Community Sense’ in </w:t>
      </w:r>
      <w:r>
        <w:rPr>
          <w:iCs/>
          <w:sz w:val="20"/>
          <w:szCs w:val="20"/>
        </w:rPr>
        <w:t xml:space="preserve">Anti-Poverty Litigation” (2007) 40 UBC L Rev </w:t>
      </w:r>
      <w:r w:rsidRPr="00445EFB">
        <w:rPr>
          <w:iCs/>
          <w:sz w:val="20"/>
          <w:szCs w:val="20"/>
        </w:rPr>
        <w:t>559</w:t>
      </w:r>
      <w:r>
        <w:rPr>
          <w:iCs/>
          <w:sz w:val="20"/>
          <w:szCs w:val="20"/>
        </w:rPr>
        <w:t xml:space="preserve">; David Wiseman, “The </w:t>
      </w:r>
      <w:r w:rsidRPr="00D278E6">
        <w:rPr>
          <w:i/>
          <w:iCs/>
          <w:sz w:val="20"/>
          <w:szCs w:val="20"/>
        </w:rPr>
        <w:t>Charter</w:t>
      </w:r>
      <w:r>
        <w:rPr>
          <w:iCs/>
          <w:sz w:val="20"/>
          <w:szCs w:val="20"/>
        </w:rPr>
        <w:t xml:space="preserve"> and Poverty: Beyond Injusticiability” (2001) 51 UTLJ 425</w:t>
      </w:r>
      <w:r w:rsidRPr="00424CAE">
        <w:rPr>
          <w:iCs/>
          <w:sz w:val="20"/>
          <w:szCs w:val="20"/>
        </w:rPr>
        <w:t>.</w:t>
      </w:r>
    </w:p>
  </w:footnote>
  <w:footnote w:id="157">
    <w:p w:rsidR="00B356AA" w:rsidRPr="005F6BD4" w:rsidRDefault="00B356AA" w:rsidP="005F6BD4">
      <w:pPr>
        <w:spacing w:after="0"/>
      </w:pPr>
      <w:r w:rsidRPr="005F3A9B">
        <w:rPr>
          <w:rStyle w:val="Appelnotedebasdep"/>
          <w:sz w:val="20"/>
          <w:szCs w:val="20"/>
          <w:vertAlign w:val="superscript"/>
        </w:rPr>
        <w:footnoteRef/>
      </w:r>
      <w:r>
        <w:rPr>
          <w:iCs/>
          <w:sz w:val="20"/>
          <w:szCs w:val="20"/>
        </w:rPr>
        <w:t xml:space="preserve"> See generally</w:t>
      </w:r>
      <w:r w:rsidRPr="005F6BD4">
        <w:rPr>
          <w:iCs/>
          <w:sz w:val="20"/>
          <w:szCs w:val="20"/>
        </w:rPr>
        <w:t>:</w:t>
      </w:r>
      <w:r w:rsidRPr="005F6BD4">
        <w:rPr>
          <w:sz w:val="20"/>
          <w:szCs w:val="20"/>
        </w:rPr>
        <w:t xml:space="preserve"> Bruce Porter, “Inclusive Interpretations: Social and Economic Rights and the Canadian </w:t>
      </w:r>
      <w:r w:rsidRPr="005F6BD4">
        <w:rPr>
          <w:i/>
          <w:sz w:val="20"/>
          <w:szCs w:val="20"/>
        </w:rPr>
        <w:t>Charter</w:t>
      </w:r>
      <w:r w:rsidRPr="005F6BD4">
        <w:rPr>
          <w:sz w:val="20"/>
          <w:szCs w:val="20"/>
        </w:rPr>
        <w:t xml:space="preserve">” in Helena Alviar García, Karl Klare &amp; Lucy A Williams, eds, </w:t>
      </w:r>
      <w:r w:rsidRPr="005F6BD4">
        <w:rPr>
          <w:i/>
          <w:sz w:val="20"/>
          <w:szCs w:val="20"/>
        </w:rPr>
        <w:t>Social and Economic Rights in Theory and Practice: Critical Enquiries</w:t>
      </w:r>
      <w:r w:rsidRPr="005F6BD4">
        <w:rPr>
          <w:sz w:val="20"/>
          <w:szCs w:val="20"/>
        </w:rPr>
        <w:t xml:space="preserve"> (New York: Routledge, 2014) 215</w:t>
      </w:r>
      <w:r>
        <w:rPr>
          <w:sz w:val="20"/>
          <w:szCs w:val="20"/>
        </w:rPr>
        <w:t xml:space="preserve"> [Porter, “Inclusive Interpretations”]; Jessica Eisen, “On Shaky </w:t>
      </w:r>
      <w:r w:rsidRPr="005F6BD4">
        <w:rPr>
          <w:sz w:val="20"/>
          <w:szCs w:val="20"/>
        </w:rPr>
        <w:t>Grounds:</w:t>
      </w:r>
      <w:r>
        <w:rPr>
          <w:sz w:val="20"/>
          <w:szCs w:val="20"/>
        </w:rPr>
        <w:t xml:space="preserve"> </w:t>
      </w:r>
      <w:r w:rsidRPr="005F6BD4">
        <w:rPr>
          <w:sz w:val="20"/>
          <w:szCs w:val="20"/>
        </w:rPr>
        <w:t xml:space="preserve">Poverty and Analogous Grounds under the </w:t>
      </w:r>
      <w:r w:rsidRPr="005F6BD4">
        <w:rPr>
          <w:i/>
          <w:sz w:val="20"/>
          <w:szCs w:val="20"/>
        </w:rPr>
        <w:t>Charter</w:t>
      </w:r>
      <w:r w:rsidRPr="005F6BD4">
        <w:rPr>
          <w:sz w:val="20"/>
          <w:szCs w:val="20"/>
        </w:rPr>
        <w:t xml:space="preserve">” </w:t>
      </w:r>
      <w:r w:rsidRPr="005F6BD4">
        <w:rPr>
          <w:iCs/>
          <w:sz w:val="20"/>
          <w:szCs w:val="20"/>
        </w:rPr>
        <w:t>(</w:t>
      </w:r>
      <w:r>
        <w:rPr>
          <w:iCs/>
          <w:sz w:val="20"/>
          <w:szCs w:val="20"/>
        </w:rPr>
        <w:t xml:space="preserve">2013) 2 CJ Poverty Law 1; Margot Young, “The Other Section 7” (2013), 62 SCLR </w:t>
      </w:r>
      <w:r w:rsidRPr="00584BF4">
        <w:rPr>
          <w:iCs/>
          <w:sz w:val="20"/>
          <w:szCs w:val="20"/>
        </w:rPr>
        <w:t>(2d) 3</w:t>
      </w:r>
      <w:r>
        <w:rPr>
          <w:iCs/>
          <w:sz w:val="20"/>
          <w:szCs w:val="20"/>
        </w:rPr>
        <w:t xml:space="preserve">; </w:t>
      </w:r>
      <w:r w:rsidRPr="00C8620F">
        <w:rPr>
          <w:iCs/>
          <w:sz w:val="20"/>
          <w:szCs w:val="20"/>
        </w:rPr>
        <w:t xml:space="preserve">Cara Wilkie &amp; Meryl Zisman Gary, “Positive and Negative Rights under the </w:t>
      </w:r>
      <w:r w:rsidRPr="00C8620F">
        <w:rPr>
          <w:i/>
          <w:iCs/>
          <w:sz w:val="20"/>
          <w:szCs w:val="20"/>
        </w:rPr>
        <w:t>Charter</w:t>
      </w:r>
      <w:r w:rsidRPr="00C8620F">
        <w:rPr>
          <w:iCs/>
          <w:sz w:val="20"/>
          <w:szCs w:val="20"/>
        </w:rPr>
        <w:t>: Closing the Divide to Advance Equality” (2011) 30 Windsor Rev Legal Soc Issues 37</w:t>
      </w:r>
      <w:r>
        <w:rPr>
          <w:iCs/>
          <w:sz w:val="20"/>
          <w:szCs w:val="20"/>
        </w:rPr>
        <w:t>; Martha Jackman, “</w:t>
      </w:r>
      <w:r w:rsidRPr="003F1B0B">
        <w:rPr>
          <w:iCs/>
          <w:sz w:val="20"/>
          <w:szCs w:val="20"/>
        </w:rPr>
        <w:t>Constitutional Castaways: Poverty and the McL</w:t>
      </w:r>
      <w:r>
        <w:rPr>
          <w:iCs/>
          <w:sz w:val="20"/>
          <w:szCs w:val="20"/>
        </w:rPr>
        <w:t xml:space="preserve">achlin Court”, (2010) 50 Supreme </w:t>
      </w:r>
      <w:r w:rsidRPr="003F1B0B">
        <w:rPr>
          <w:iCs/>
          <w:sz w:val="20"/>
          <w:szCs w:val="20"/>
        </w:rPr>
        <w:t>Court Law Review (2d) 297</w:t>
      </w:r>
      <w:r>
        <w:rPr>
          <w:iCs/>
          <w:sz w:val="20"/>
          <w:szCs w:val="20"/>
        </w:rPr>
        <w:t xml:space="preserve"> [Jackman, “Constitutional Castaways”]; Abell, “Poverty and Social Justice”, </w:t>
      </w:r>
      <w:r w:rsidRPr="00445EFB">
        <w:rPr>
          <w:i/>
          <w:iCs/>
          <w:sz w:val="20"/>
          <w:szCs w:val="20"/>
        </w:rPr>
        <w:t>ibid</w:t>
      </w:r>
      <w:r>
        <w:rPr>
          <w:iCs/>
          <w:sz w:val="20"/>
          <w:szCs w:val="20"/>
        </w:rPr>
        <w:t xml:space="preserve">; Bruce </w:t>
      </w:r>
      <w:r w:rsidRPr="005F6BD4">
        <w:rPr>
          <w:iCs/>
          <w:sz w:val="20"/>
          <w:szCs w:val="20"/>
        </w:rPr>
        <w:t xml:space="preserve">Porter, </w:t>
      </w:r>
      <w:r>
        <w:rPr>
          <w:iCs/>
          <w:sz w:val="20"/>
          <w:szCs w:val="20"/>
        </w:rPr>
        <w:t>“</w:t>
      </w:r>
      <w:r w:rsidRPr="005F6BD4">
        <w:rPr>
          <w:iCs/>
          <w:sz w:val="20"/>
          <w:szCs w:val="20"/>
        </w:rPr>
        <w:t>Claiming Adjudicative Space: Social Rights, Equality and Citizenship</w:t>
      </w:r>
      <w:r>
        <w:rPr>
          <w:iCs/>
          <w:sz w:val="20"/>
          <w:szCs w:val="20"/>
        </w:rPr>
        <w:t xml:space="preserve">” in Young et al, </w:t>
      </w:r>
      <w:r w:rsidRPr="000A69DE">
        <w:rPr>
          <w:i/>
          <w:iCs/>
          <w:sz w:val="20"/>
          <w:szCs w:val="20"/>
        </w:rPr>
        <w:t>Poverty: Rights</w:t>
      </w:r>
      <w:r>
        <w:rPr>
          <w:iCs/>
          <w:sz w:val="20"/>
          <w:szCs w:val="20"/>
        </w:rPr>
        <w:t xml:space="preserve">, </w:t>
      </w:r>
      <w:r w:rsidRPr="000A69DE">
        <w:rPr>
          <w:i/>
          <w:iCs/>
          <w:sz w:val="20"/>
          <w:szCs w:val="20"/>
        </w:rPr>
        <w:t>supra</w:t>
      </w:r>
      <w:r>
        <w:rPr>
          <w:iCs/>
          <w:sz w:val="20"/>
          <w:szCs w:val="20"/>
        </w:rPr>
        <w:t xml:space="preserve"> note 54 77;Yavar Hameed &amp;</w:t>
      </w:r>
      <w:r w:rsidRPr="00823A84">
        <w:rPr>
          <w:iCs/>
          <w:sz w:val="20"/>
          <w:szCs w:val="20"/>
        </w:rPr>
        <w:t xml:space="preserve"> Nitti Simmonds “The </w:t>
      </w:r>
      <w:r w:rsidRPr="00823A84">
        <w:rPr>
          <w:i/>
          <w:iCs/>
          <w:sz w:val="20"/>
          <w:szCs w:val="20"/>
        </w:rPr>
        <w:t>Charter</w:t>
      </w:r>
      <w:r>
        <w:rPr>
          <w:iCs/>
          <w:sz w:val="20"/>
          <w:szCs w:val="20"/>
        </w:rPr>
        <w:t xml:space="preserve">, Poverty Rights and the Space </w:t>
      </w:r>
      <w:r w:rsidRPr="00823A84">
        <w:rPr>
          <w:iCs/>
          <w:sz w:val="20"/>
          <w:szCs w:val="20"/>
        </w:rPr>
        <w:t>Between: Exploring Social Movements as a Forum for Advancin</w:t>
      </w:r>
      <w:r>
        <w:rPr>
          <w:iCs/>
          <w:sz w:val="20"/>
          <w:szCs w:val="20"/>
        </w:rPr>
        <w:t>g Social and Economic Rights in Canada” (2007) 23 NJCL</w:t>
      </w:r>
      <w:r w:rsidRPr="00823A84">
        <w:rPr>
          <w:iCs/>
          <w:sz w:val="20"/>
          <w:szCs w:val="20"/>
        </w:rPr>
        <w:t xml:space="preserve"> 181</w:t>
      </w:r>
      <w:r>
        <w:rPr>
          <w:iCs/>
          <w:sz w:val="20"/>
          <w:szCs w:val="20"/>
        </w:rPr>
        <w:t xml:space="preserve">; Margot Young, “Section 7 and the Politics of Social Justice” (2005) 38 UBC L Rev 539.  </w:t>
      </w:r>
    </w:p>
  </w:footnote>
  <w:footnote w:id="15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 v Canada (Attorney General)</w:t>
      </w:r>
      <w:r w:rsidRPr="005F3A9B">
        <w:rPr>
          <w:iCs/>
          <w:sz w:val="20"/>
          <w:szCs w:val="20"/>
        </w:rPr>
        <w:t xml:space="preserve"> 2013 ONSC 5410 [</w:t>
      </w:r>
      <w:r w:rsidRPr="005F3A9B">
        <w:rPr>
          <w:i/>
          <w:iCs/>
          <w:sz w:val="20"/>
          <w:szCs w:val="20"/>
        </w:rPr>
        <w:t>Tanudjaja</w:t>
      </w:r>
      <w:r w:rsidRPr="005F3A9B">
        <w:rPr>
          <w:iCs/>
          <w:sz w:val="20"/>
          <w:szCs w:val="20"/>
        </w:rPr>
        <w:t xml:space="preserve"> (SC)], aff</w:t>
      </w:r>
      <w:r>
        <w:rPr>
          <w:iCs/>
          <w:sz w:val="20"/>
          <w:szCs w:val="20"/>
        </w:rPr>
        <w:t>’</w:t>
      </w:r>
      <w:r w:rsidRPr="005F3A9B">
        <w:rPr>
          <w:iCs/>
          <w:sz w:val="20"/>
          <w:szCs w:val="20"/>
        </w:rPr>
        <w:t>d 2014 ONCA 852 [</w:t>
      </w:r>
      <w:r w:rsidRPr="005F3A9B">
        <w:rPr>
          <w:i/>
          <w:iCs/>
          <w:sz w:val="20"/>
          <w:szCs w:val="20"/>
        </w:rPr>
        <w:t>Tanudjaja</w:t>
      </w:r>
      <w:r w:rsidRPr="005F3A9B">
        <w:rPr>
          <w:iCs/>
          <w:sz w:val="20"/>
          <w:szCs w:val="20"/>
        </w:rPr>
        <w:t xml:space="preserve"> (CA)], leave to appeal to</w:t>
      </w:r>
      <w:r>
        <w:rPr>
          <w:iCs/>
          <w:sz w:val="20"/>
          <w:szCs w:val="20"/>
        </w:rPr>
        <w:t xml:space="preserve"> (SCC)</w:t>
      </w:r>
      <w:r w:rsidRPr="005F3A9B">
        <w:rPr>
          <w:iCs/>
          <w:sz w:val="20"/>
          <w:szCs w:val="20"/>
        </w:rPr>
        <w:t xml:space="preserve"> refused, 36283 (25 June 2015)</w:t>
      </w:r>
      <w:r w:rsidRPr="005F3A9B">
        <w:rPr>
          <w:sz w:val="20"/>
          <w:szCs w:val="20"/>
        </w:rPr>
        <w:t>.</w:t>
      </w:r>
      <w:r>
        <w:rPr>
          <w:sz w:val="20"/>
          <w:szCs w:val="20"/>
        </w:rPr>
        <w:t xml:space="preserve">  The judgments, Notice of Application, </w:t>
      </w:r>
      <w:r>
        <w:rPr>
          <w:i/>
          <w:sz w:val="20"/>
          <w:szCs w:val="20"/>
        </w:rPr>
        <w:t>F</w:t>
      </w:r>
      <w:r w:rsidRPr="003D22A1">
        <w:rPr>
          <w:i/>
          <w:sz w:val="20"/>
          <w:szCs w:val="20"/>
        </w:rPr>
        <w:t>acta</w:t>
      </w:r>
      <w:r>
        <w:rPr>
          <w:sz w:val="20"/>
          <w:szCs w:val="20"/>
        </w:rPr>
        <w:t xml:space="preserve"> of the parties and interveners, Applicant and Expert Witness Affidavits, and other key documents in the </w:t>
      </w:r>
      <w:r w:rsidRPr="009C5CA6">
        <w:rPr>
          <w:i/>
          <w:sz w:val="20"/>
          <w:szCs w:val="20"/>
        </w:rPr>
        <w:t>Tanujaja</w:t>
      </w:r>
      <w:r>
        <w:rPr>
          <w:sz w:val="20"/>
          <w:szCs w:val="20"/>
        </w:rPr>
        <w:t xml:space="preserve"> case can be found at: </w:t>
      </w:r>
      <w:r w:rsidRPr="009C5CA6">
        <w:rPr>
          <w:sz w:val="20"/>
          <w:szCs w:val="20"/>
        </w:rPr>
        <w:t>http://socialrightscura.ca/eng/legal-strategies-charter-challenge-homlessness-motion-to-strike.html</w:t>
      </w:r>
      <w:r>
        <w:rPr>
          <w:sz w:val="20"/>
          <w:szCs w:val="20"/>
        </w:rPr>
        <w:t>.</w:t>
      </w:r>
    </w:p>
  </w:footnote>
  <w:footnote w:id="15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 xml:space="preserve">CERA is a non-profit organization providing services to low income tenants and the homeless in Ontario; see </w:t>
      </w:r>
      <w:hyperlink r:id="rId1" w:history="1">
        <w:r w:rsidRPr="005F3A9B">
          <w:rPr>
            <w:rStyle w:val="Lienhypertexte"/>
            <w:sz w:val="20"/>
            <w:szCs w:val="20"/>
          </w:rPr>
          <w:t>http://www.equalityrights.org/cera/</w:t>
        </w:r>
      </w:hyperlink>
      <w:r w:rsidRPr="005F3A9B">
        <w:rPr>
          <w:sz w:val="20"/>
          <w:szCs w:val="20"/>
        </w:rPr>
        <w:t xml:space="preserve">.  The Application was supported by a number of interveners working in coalition, including the Charter Committee on Poverty Issues, Pivot Legal </w:t>
      </w:r>
      <w:r>
        <w:rPr>
          <w:sz w:val="20"/>
          <w:szCs w:val="20"/>
        </w:rPr>
        <w:t xml:space="preserve">Society, Justice for Girls, </w:t>
      </w:r>
      <w:r w:rsidRPr="005F3A9B">
        <w:rPr>
          <w:sz w:val="20"/>
          <w:szCs w:val="20"/>
        </w:rPr>
        <w:t>the Income Security Advocacy Centre, Amnesty International, the International Network for Economic, Social and Cultural Rights (ESCR-Net), the David Asper Centre for Consti</w:t>
      </w:r>
      <w:r>
        <w:rPr>
          <w:sz w:val="20"/>
          <w:szCs w:val="20"/>
        </w:rPr>
        <w:t>tutional Rights, and</w:t>
      </w:r>
      <w:r w:rsidRPr="005F3A9B">
        <w:rPr>
          <w:sz w:val="20"/>
          <w:szCs w:val="20"/>
        </w:rPr>
        <w:t xml:space="preserve"> </w:t>
      </w:r>
      <w:r>
        <w:rPr>
          <w:sz w:val="20"/>
          <w:szCs w:val="20"/>
        </w:rPr>
        <w:t>(</w:t>
      </w:r>
      <w:r w:rsidRPr="005F3A9B">
        <w:rPr>
          <w:sz w:val="20"/>
          <w:szCs w:val="20"/>
        </w:rPr>
        <w:t>at the Ontario Court of Appeal</w:t>
      </w:r>
      <w:r>
        <w:rPr>
          <w:sz w:val="20"/>
          <w:szCs w:val="20"/>
        </w:rPr>
        <w:t>)</w:t>
      </w:r>
      <w:r w:rsidRPr="005F3A9B">
        <w:rPr>
          <w:sz w:val="20"/>
          <w:szCs w:val="20"/>
        </w:rPr>
        <w:t xml:space="preserve"> the Ontario Human Rights Commission, the ODSP Action Coalition, the Steering Committee on Social Assistance, the Colour of Poverty/Colour of Change Network, the ARCH Disability Law Centre, the Dream Team, the Canadian HIV/AIDS Legal Network and HIV/AIDS Legal Clinic and the Women’s Legal Education and Action Fund (LEAF).  The author, with Jackie Esmonde at the Ontario Superior Court and Benjamin Ries at the Court of Appeal, represented the Charter Committee Coalition.</w:t>
      </w:r>
    </w:p>
  </w:footnote>
  <w:footnote w:id="16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w:t>
      </w:r>
      <w:r>
        <w:rPr>
          <w:iCs/>
          <w:sz w:val="20"/>
          <w:szCs w:val="20"/>
        </w:rPr>
        <w:t xml:space="preserve"> (SC), </w:t>
      </w:r>
      <w:r w:rsidRPr="005552B5">
        <w:rPr>
          <w:i/>
          <w:iCs/>
          <w:sz w:val="20"/>
          <w:szCs w:val="20"/>
        </w:rPr>
        <w:t>supra</w:t>
      </w:r>
      <w:r>
        <w:rPr>
          <w:iCs/>
          <w:sz w:val="20"/>
          <w:szCs w:val="20"/>
        </w:rPr>
        <w:t xml:space="preserve"> note 158 (</w:t>
      </w:r>
      <w:r w:rsidRPr="00D263C2">
        <w:rPr>
          <w:i/>
          <w:iCs/>
          <w:sz w:val="20"/>
          <w:szCs w:val="20"/>
          <w:u w:val="single"/>
        </w:rPr>
        <w:t xml:space="preserve">Amended </w:t>
      </w:r>
      <w:r w:rsidRPr="000A69DE">
        <w:rPr>
          <w:i/>
          <w:iCs/>
          <w:sz w:val="20"/>
          <w:szCs w:val="20"/>
        </w:rPr>
        <w:t>Notice of Application</w:t>
      </w:r>
      <w:r>
        <w:rPr>
          <w:iCs/>
          <w:sz w:val="20"/>
          <w:szCs w:val="20"/>
        </w:rPr>
        <w:t xml:space="preserve"> at paras 1-5); </w:t>
      </w:r>
      <w:r w:rsidRPr="00D67BF9">
        <w:rPr>
          <w:i/>
          <w:iCs/>
          <w:sz w:val="20"/>
          <w:szCs w:val="20"/>
        </w:rPr>
        <w:t>Tanudjaja</w:t>
      </w:r>
      <w:r>
        <w:rPr>
          <w:iCs/>
          <w:sz w:val="20"/>
          <w:szCs w:val="20"/>
        </w:rPr>
        <w:t xml:space="preserve"> (SC) </w:t>
      </w:r>
      <w:r w:rsidRPr="005552B5">
        <w:rPr>
          <w:i/>
          <w:iCs/>
          <w:sz w:val="20"/>
          <w:szCs w:val="20"/>
        </w:rPr>
        <w:t>ibid</w:t>
      </w:r>
      <w:r>
        <w:rPr>
          <w:iCs/>
          <w:sz w:val="20"/>
          <w:szCs w:val="20"/>
        </w:rPr>
        <w:t xml:space="preserve"> (</w:t>
      </w:r>
      <w:r>
        <w:rPr>
          <w:i/>
          <w:iCs/>
          <w:sz w:val="20"/>
          <w:szCs w:val="20"/>
        </w:rPr>
        <w:t xml:space="preserve">Factum of the Applicants (Respondents on the Motion) </w:t>
      </w:r>
      <w:r>
        <w:rPr>
          <w:iCs/>
          <w:sz w:val="20"/>
          <w:szCs w:val="20"/>
        </w:rPr>
        <w:t xml:space="preserve">at para 8); </w:t>
      </w:r>
      <w:r w:rsidRPr="005F3A9B">
        <w:rPr>
          <w:i/>
          <w:iCs/>
          <w:sz w:val="20"/>
          <w:szCs w:val="20"/>
        </w:rPr>
        <w:t xml:space="preserve">Tanudjaja </w:t>
      </w:r>
      <w:r w:rsidRPr="005F3A9B">
        <w:rPr>
          <w:iCs/>
          <w:sz w:val="20"/>
          <w:szCs w:val="20"/>
        </w:rPr>
        <w:t xml:space="preserve">(SC), </w:t>
      </w:r>
      <w:r w:rsidRPr="005F3A9B">
        <w:rPr>
          <w:i/>
          <w:iCs/>
          <w:sz w:val="20"/>
          <w:szCs w:val="20"/>
        </w:rPr>
        <w:t>ibid</w:t>
      </w:r>
      <w:r w:rsidRPr="005F3A9B">
        <w:rPr>
          <w:iCs/>
          <w:sz w:val="20"/>
          <w:szCs w:val="20"/>
        </w:rPr>
        <w:t xml:space="preserve"> paras 12-14</w:t>
      </w:r>
      <w:r>
        <w:rPr>
          <w:sz w:val="20"/>
          <w:szCs w:val="20"/>
        </w:rPr>
        <w:t xml:space="preserve">.  </w:t>
      </w:r>
      <w:r w:rsidRPr="005B6990">
        <w:rPr>
          <w:iCs/>
          <w:sz w:val="20"/>
          <w:szCs w:val="20"/>
        </w:rPr>
        <w:t>Jennifer Tanudjaja, a young single mother in receipt of social assistance, was living with her two sons in an apartment that cost more than her total</w:t>
      </w:r>
      <w:r>
        <w:rPr>
          <w:iCs/>
          <w:sz w:val="20"/>
          <w:szCs w:val="20"/>
        </w:rPr>
        <w:t xml:space="preserve"> monthly </w:t>
      </w:r>
      <w:r w:rsidRPr="005B6990">
        <w:rPr>
          <w:iCs/>
          <w:sz w:val="20"/>
          <w:szCs w:val="20"/>
        </w:rPr>
        <w:t>social assistance benefit</w:t>
      </w:r>
      <w:r>
        <w:rPr>
          <w:iCs/>
          <w:sz w:val="20"/>
          <w:szCs w:val="20"/>
        </w:rPr>
        <w:t>,</w:t>
      </w:r>
      <w:r w:rsidRPr="005B6990">
        <w:rPr>
          <w:iCs/>
          <w:sz w:val="20"/>
          <w:szCs w:val="20"/>
        </w:rPr>
        <w:t xml:space="preserve"> and had been on a waiting list for subsidized housing for over two years.  Diagnosed with cancer, Brian DuBourdieu was unable to work or to pay his rent and lost his apartment, living on the streets and in shelters, and on a waiting list for subsidized housing for four years.  Ansar Mahmood, severely disabled in an industrial accident, lived with his wife and four children including one son confined to a wheelchair, in a two-bedroom apartment that was not accessible. He and his family had been on a waiting list for subsidized accessible housing for four years.  Following the sudden death of her spouse, Janice Arsenault became homeless, living in shelters and on the streets for several years and forced to place her young two sons in her parents’ care, until she was able to find </w:t>
      </w:r>
      <w:r>
        <w:rPr>
          <w:iCs/>
          <w:sz w:val="20"/>
          <w:szCs w:val="20"/>
        </w:rPr>
        <w:t xml:space="preserve">rental </w:t>
      </w:r>
      <w:r w:rsidRPr="005B6990">
        <w:rPr>
          <w:iCs/>
          <w:sz w:val="20"/>
          <w:szCs w:val="20"/>
        </w:rPr>
        <w:t>housing that consumed two-thirds of he</w:t>
      </w:r>
      <w:r>
        <w:rPr>
          <w:iCs/>
          <w:sz w:val="20"/>
          <w:szCs w:val="20"/>
        </w:rPr>
        <w:t>r limited monthly income, putting her at</w:t>
      </w:r>
      <w:r w:rsidRPr="005B6990">
        <w:rPr>
          <w:iCs/>
          <w:sz w:val="20"/>
          <w:szCs w:val="20"/>
        </w:rPr>
        <w:t xml:space="preserve"> </w:t>
      </w:r>
      <w:r>
        <w:rPr>
          <w:iCs/>
          <w:sz w:val="20"/>
          <w:szCs w:val="20"/>
        </w:rPr>
        <w:t xml:space="preserve">constant </w:t>
      </w:r>
      <w:r w:rsidRPr="005B6990">
        <w:rPr>
          <w:iCs/>
          <w:sz w:val="20"/>
          <w:szCs w:val="20"/>
        </w:rPr>
        <w:t>risk of becoming homeless again.</w:t>
      </w:r>
      <w:r>
        <w:rPr>
          <w:iCs/>
          <w:sz w:val="20"/>
          <w:szCs w:val="20"/>
        </w:rPr>
        <w:t xml:space="preserve"> </w:t>
      </w:r>
    </w:p>
  </w:footnote>
  <w:footnote w:id="161">
    <w:p w:rsidR="00B356AA" w:rsidRPr="009C5CA6" w:rsidRDefault="00B356AA" w:rsidP="001C6A12">
      <w:pPr>
        <w:spacing w:after="0"/>
        <w:rPr>
          <w:sz w:val="20"/>
          <w:szCs w:val="20"/>
        </w:rPr>
      </w:pPr>
      <w:r w:rsidRPr="009C5CA6">
        <w:rPr>
          <w:rStyle w:val="Appelnotedebasdep"/>
          <w:sz w:val="20"/>
          <w:szCs w:val="20"/>
          <w:vertAlign w:val="superscript"/>
        </w:rPr>
        <w:footnoteRef/>
      </w:r>
      <w:r w:rsidRPr="009C5CA6">
        <w:rPr>
          <w:i/>
          <w:iCs/>
          <w:sz w:val="20"/>
          <w:szCs w:val="20"/>
        </w:rPr>
        <w:t xml:space="preserve">Tanudjaja </w:t>
      </w:r>
      <w:r w:rsidRPr="009C5CA6">
        <w:rPr>
          <w:iCs/>
          <w:sz w:val="20"/>
          <w:szCs w:val="20"/>
        </w:rPr>
        <w:t>(SC) (</w:t>
      </w:r>
      <w:r w:rsidRPr="009C5CA6">
        <w:rPr>
          <w:i/>
          <w:iCs/>
          <w:sz w:val="20"/>
          <w:szCs w:val="20"/>
          <w:u w:val="single"/>
        </w:rPr>
        <w:t>Amended</w:t>
      </w:r>
      <w:r w:rsidRPr="009C5CA6">
        <w:rPr>
          <w:i/>
          <w:iCs/>
          <w:sz w:val="20"/>
          <w:szCs w:val="20"/>
        </w:rPr>
        <w:t xml:space="preserve"> Notice of Application </w:t>
      </w:r>
      <w:r w:rsidRPr="009C5CA6">
        <w:rPr>
          <w:iCs/>
          <w:sz w:val="20"/>
          <w:szCs w:val="20"/>
        </w:rPr>
        <w:t>at paras 27-32)</w:t>
      </w:r>
      <w:r>
        <w:rPr>
          <w:iCs/>
          <w:sz w:val="20"/>
          <w:szCs w:val="20"/>
        </w:rPr>
        <w:t xml:space="preserve">, </w:t>
      </w:r>
      <w:r w:rsidRPr="005F1CE4">
        <w:rPr>
          <w:i/>
          <w:iCs/>
          <w:sz w:val="20"/>
          <w:szCs w:val="20"/>
        </w:rPr>
        <w:t>ibid</w:t>
      </w:r>
      <w:r>
        <w:rPr>
          <w:iCs/>
          <w:sz w:val="20"/>
          <w:szCs w:val="20"/>
        </w:rPr>
        <w:t>.</w:t>
      </w:r>
      <w:r w:rsidRPr="009C5CA6">
        <w:rPr>
          <w:iCs/>
          <w:sz w:val="20"/>
          <w:szCs w:val="20"/>
        </w:rPr>
        <w:t xml:space="preserve">; </w:t>
      </w:r>
      <w:r w:rsidRPr="009C5CA6">
        <w:rPr>
          <w:i/>
          <w:iCs/>
          <w:sz w:val="20"/>
          <w:szCs w:val="20"/>
        </w:rPr>
        <w:t>Tanudjaja</w:t>
      </w:r>
      <w:r w:rsidRPr="009C5CA6">
        <w:rPr>
          <w:iCs/>
          <w:sz w:val="20"/>
          <w:szCs w:val="20"/>
        </w:rPr>
        <w:t xml:space="preserve"> (SC) (</w:t>
      </w:r>
      <w:r w:rsidRPr="009C5CA6">
        <w:rPr>
          <w:i/>
          <w:iCs/>
          <w:sz w:val="20"/>
          <w:szCs w:val="20"/>
        </w:rPr>
        <w:t>Factum of the Applicants (Respondents on the Motion)</w:t>
      </w:r>
      <w:r w:rsidRPr="009C5CA6">
        <w:rPr>
          <w:iCs/>
          <w:sz w:val="20"/>
          <w:szCs w:val="20"/>
        </w:rPr>
        <w:t xml:space="preserve"> at paras 15-18)</w:t>
      </w:r>
      <w:r>
        <w:rPr>
          <w:iCs/>
          <w:sz w:val="20"/>
          <w:szCs w:val="20"/>
        </w:rPr>
        <w:t xml:space="preserve">, </w:t>
      </w:r>
      <w:r w:rsidRPr="005F1CE4">
        <w:rPr>
          <w:i/>
          <w:iCs/>
          <w:sz w:val="20"/>
          <w:szCs w:val="20"/>
        </w:rPr>
        <w:t>ibid</w:t>
      </w:r>
      <w:r w:rsidRPr="009C5CA6">
        <w:rPr>
          <w:iCs/>
          <w:sz w:val="20"/>
          <w:szCs w:val="20"/>
        </w:rPr>
        <w:t>.</w:t>
      </w:r>
      <w:r>
        <w:rPr>
          <w:iCs/>
          <w:sz w:val="20"/>
          <w:szCs w:val="20"/>
        </w:rPr>
        <w:t xml:space="preserve">  </w:t>
      </w:r>
    </w:p>
  </w:footnote>
  <w:footnote w:id="162">
    <w:p w:rsidR="00B356AA" w:rsidRPr="009C5CA6" w:rsidRDefault="00B356AA" w:rsidP="00A14592">
      <w:pPr>
        <w:spacing w:after="0"/>
        <w:rPr>
          <w:sz w:val="20"/>
          <w:szCs w:val="20"/>
        </w:rPr>
      </w:pPr>
      <w:r w:rsidRPr="009C5CA6">
        <w:rPr>
          <w:rStyle w:val="Appelnotedebasdep"/>
          <w:sz w:val="20"/>
          <w:szCs w:val="20"/>
          <w:vertAlign w:val="superscript"/>
        </w:rPr>
        <w:footnoteRef/>
      </w:r>
      <w:r w:rsidRPr="009C5CA6">
        <w:rPr>
          <w:i/>
          <w:iCs/>
          <w:sz w:val="20"/>
          <w:szCs w:val="20"/>
        </w:rPr>
        <w:t xml:space="preserve">Tanudjaja </w:t>
      </w:r>
      <w:r w:rsidRPr="009C5CA6">
        <w:rPr>
          <w:iCs/>
          <w:sz w:val="20"/>
          <w:szCs w:val="20"/>
        </w:rPr>
        <w:t>(SC)</w:t>
      </w:r>
      <w:r>
        <w:rPr>
          <w:iCs/>
          <w:sz w:val="20"/>
          <w:szCs w:val="20"/>
        </w:rPr>
        <w:t>,</w:t>
      </w:r>
      <w:r w:rsidRPr="009C5CA6">
        <w:rPr>
          <w:iCs/>
          <w:sz w:val="20"/>
          <w:szCs w:val="20"/>
        </w:rPr>
        <w:t xml:space="preserve"> (</w:t>
      </w:r>
      <w:r w:rsidRPr="009C5CA6">
        <w:rPr>
          <w:i/>
          <w:iCs/>
          <w:sz w:val="20"/>
          <w:szCs w:val="20"/>
          <w:u w:val="single"/>
        </w:rPr>
        <w:t>Amended</w:t>
      </w:r>
      <w:r w:rsidRPr="009C5CA6">
        <w:rPr>
          <w:i/>
          <w:iCs/>
          <w:sz w:val="20"/>
          <w:szCs w:val="20"/>
        </w:rPr>
        <w:t xml:space="preserve"> Notice of Application</w:t>
      </w:r>
      <w:r w:rsidRPr="009C5CA6">
        <w:rPr>
          <w:iCs/>
          <w:sz w:val="20"/>
          <w:szCs w:val="20"/>
        </w:rPr>
        <w:t>)</w:t>
      </w:r>
      <w:r>
        <w:rPr>
          <w:iCs/>
          <w:sz w:val="20"/>
          <w:szCs w:val="20"/>
        </w:rPr>
        <w:t xml:space="preserve">, </w:t>
      </w:r>
      <w:r w:rsidRPr="005F1CE4">
        <w:rPr>
          <w:i/>
          <w:iCs/>
          <w:sz w:val="20"/>
          <w:szCs w:val="20"/>
        </w:rPr>
        <w:t>ibid</w:t>
      </w:r>
      <w:r w:rsidRPr="009C5CA6">
        <w:rPr>
          <w:iCs/>
          <w:sz w:val="20"/>
          <w:szCs w:val="20"/>
        </w:rPr>
        <w:t>.</w:t>
      </w:r>
    </w:p>
  </w:footnote>
  <w:footnote w:id="163">
    <w:p w:rsidR="00B356AA" w:rsidRPr="009C5CA6" w:rsidRDefault="00B356AA" w:rsidP="00A14592">
      <w:pPr>
        <w:spacing w:after="0"/>
        <w:rPr>
          <w:sz w:val="20"/>
          <w:szCs w:val="20"/>
        </w:rPr>
      </w:pPr>
      <w:r w:rsidRPr="009C5CA6">
        <w:rPr>
          <w:rStyle w:val="Appelnotedebasdep"/>
          <w:sz w:val="20"/>
          <w:szCs w:val="20"/>
          <w:vertAlign w:val="superscript"/>
        </w:rPr>
        <w:footnoteRef/>
      </w:r>
      <w:r w:rsidRPr="009C5CA6">
        <w:rPr>
          <w:i/>
          <w:iCs/>
          <w:sz w:val="20"/>
          <w:szCs w:val="20"/>
        </w:rPr>
        <w:t xml:space="preserve"> Tanudjaja</w:t>
      </w:r>
      <w:r w:rsidRPr="009C5CA6">
        <w:rPr>
          <w:iCs/>
          <w:sz w:val="20"/>
          <w:szCs w:val="20"/>
        </w:rPr>
        <w:t xml:space="preserve"> (SC)</w:t>
      </w:r>
      <w:r>
        <w:rPr>
          <w:iCs/>
          <w:sz w:val="20"/>
          <w:szCs w:val="20"/>
        </w:rPr>
        <w:t xml:space="preserve">, </w:t>
      </w:r>
      <w:r w:rsidRPr="009C5CA6">
        <w:rPr>
          <w:iCs/>
          <w:sz w:val="20"/>
          <w:szCs w:val="20"/>
        </w:rPr>
        <w:t>(</w:t>
      </w:r>
      <w:r w:rsidRPr="009C5CA6">
        <w:rPr>
          <w:i/>
          <w:iCs/>
          <w:sz w:val="20"/>
          <w:szCs w:val="20"/>
        </w:rPr>
        <w:t>Factum of the Applicants (Respondents on the Motion)</w:t>
      </w:r>
      <w:r w:rsidRPr="009C5CA6">
        <w:rPr>
          <w:iCs/>
          <w:sz w:val="20"/>
          <w:szCs w:val="20"/>
        </w:rPr>
        <w:t xml:space="preserve"> at paras 1, 46-47)</w:t>
      </w:r>
      <w:r>
        <w:rPr>
          <w:iCs/>
          <w:sz w:val="20"/>
          <w:szCs w:val="20"/>
        </w:rPr>
        <w:t xml:space="preserve"> </w:t>
      </w:r>
      <w:r w:rsidRPr="005F1CE4">
        <w:rPr>
          <w:i/>
          <w:iCs/>
          <w:sz w:val="20"/>
          <w:szCs w:val="20"/>
        </w:rPr>
        <w:t>supra</w:t>
      </w:r>
      <w:r>
        <w:rPr>
          <w:iCs/>
          <w:sz w:val="20"/>
          <w:szCs w:val="20"/>
        </w:rPr>
        <w:t xml:space="preserve"> note 160</w:t>
      </w:r>
      <w:r w:rsidRPr="009C5CA6">
        <w:rPr>
          <w:iCs/>
          <w:sz w:val="20"/>
          <w:szCs w:val="20"/>
        </w:rPr>
        <w:t xml:space="preserve">; </w:t>
      </w:r>
      <w:r w:rsidRPr="009C5CA6">
        <w:rPr>
          <w:i/>
          <w:iCs/>
          <w:sz w:val="20"/>
          <w:szCs w:val="20"/>
        </w:rPr>
        <w:t xml:space="preserve">Tanudjaja </w:t>
      </w:r>
      <w:r w:rsidRPr="009C5CA6">
        <w:rPr>
          <w:iCs/>
          <w:sz w:val="20"/>
          <w:szCs w:val="20"/>
        </w:rPr>
        <w:t xml:space="preserve">(CA), </w:t>
      </w:r>
      <w:r>
        <w:rPr>
          <w:i/>
          <w:iCs/>
          <w:sz w:val="20"/>
          <w:szCs w:val="20"/>
        </w:rPr>
        <w:t>supra</w:t>
      </w:r>
      <w:r w:rsidRPr="009C5CA6">
        <w:rPr>
          <w:iCs/>
          <w:sz w:val="20"/>
          <w:szCs w:val="20"/>
        </w:rPr>
        <w:t xml:space="preserve"> </w:t>
      </w:r>
      <w:r>
        <w:rPr>
          <w:iCs/>
          <w:sz w:val="20"/>
          <w:szCs w:val="20"/>
        </w:rPr>
        <w:t xml:space="preserve">note 158 </w:t>
      </w:r>
      <w:r w:rsidRPr="009C5CA6">
        <w:rPr>
          <w:iCs/>
          <w:sz w:val="20"/>
          <w:szCs w:val="20"/>
        </w:rPr>
        <w:t>(</w:t>
      </w:r>
      <w:r w:rsidRPr="009C5CA6">
        <w:rPr>
          <w:i/>
          <w:iCs/>
          <w:sz w:val="20"/>
          <w:szCs w:val="20"/>
        </w:rPr>
        <w:t>Factum of the Appellants</w:t>
      </w:r>
      <w:r w:rsidRPr="009C5CA6">
        <w:rPr>
          <w:iCs/>
          <w:sz w:val="20"/>
          <w:szCs w:val="20"/>
        </w:rPr>
        <w:t xml:space="preserve"> at para 6)</w:t>
      </w:r>
      <w:r w:rsidRPr="009C5CA6">
        <w:rPr>
          <w:sz w:val="20"/>
          <w:szCs w:val="20"/>
        </w:rPr>
        <w:t>.</w:t>
      </w:r>
    </w:p>
  </w:footnote>
  <w:footnote w:id="164">
    <w:p w:rsidR="00B356AA" w:rsidRPr="009C5CA6" w:rsidRDefault="00B356AA" w:rsidP="000A08C1">
      <w:pPr>
        <w:spacing w:after="0"/>
        <w:rPr>
          <w:sz w:val="20"/>
          <w:szCs w:val="20"/>
        </w:rPr>
      </w:pPr>
      <w:r w:rsidRPr="009C5CA6">
        <w:rPr>
          <w:rStyle w:val="Appelnotedebasdep"/>
          <w:sz w:val="20"/>
          <w:szCs w:val="20"/>
          <w:vertAlign w:val="superscript"/>
        </w:rPr>
        <w:footnoteRef/>
      </w:r>
      <w:r w:rsidRPr="009C5CA6">
        <w:rPr>
          <w:i/>
          <w:iCs/>
          <w:sz w:val="20"/>
          <w:szCs w:val="20"/>
        </w:rPr>
        <w:t xml:space="preserve"> </w:t>
      </w:r>
      <w:r w:rsidRPr="009C5CA6">
        <w:rPr>
          <w:iCs/>
          <w:sz w:val="20"/>
          <w:szCs w:val="20"/>
        </w:rPr>
        <w:t>Justice Feldman noted that the Applicants’ record comprised 16 volumes totalling 10,000 pages</w:t>
      </w:r>
      <w:r>
        <w:rPr>
          <w:iCs/>
          <w:sz w:val="20"/>
          <w:szCs w:val="20"/>
        </w:rPr>
        <w:t xml:space="preserve"> containing 19 Affidavits, of which 13 were from experts</w:t>
      </w:r>
      <w:r w:rsidRPr="009C5CA6">
        <w:rPr>
          <w:iCs/>
          <w:sz w:val="20"/>
          <w:szCs w:val="20"/>
        </w:rPr>
        <w:t xml:space="preserve">; </w:t>
      </w:r>
      <w:r w:rsidRPr="009C5CA6">
        <w:rPr>
          <w:i/>
          <w:iCs/>
          <w:sz w:val="20"/>
          <w:szCs w:val="20"/>
        </w:rPr>
        <w:t xml:space="preserve">Tanudjaja </w:t>
      </w:r>
      <w:r w:rsidRPr="009C5CA6">
        <w:rPr>
          <w:iCs/>
          <w:sz w:val="20"/>
          <w:szCs w:val="20"/>
        </w:rPr>
        <w:t xml:space="preserve">(CA), </w:t>
      </w:r>
      <w:r>
        <w:rPr>
          <w:i/>
          <w:iCs/>
          <w:sz w:val="20"/>
          <w:szCs w:val="20"/>
        </w:rPr>
        <w:t xml:space="preserve">ibid </w:t>
      </w:r>
      <w:r w:rsidRPr="009C5CA6">
        <w:rPr>
          <w:sz w:val="20"/>
          <w:szCs w:val="20"/>
        </w:rPr>
        <w:t>at para 66.</w:t>
      </w:r>
    </w:p>
  </w:footnote>
  <w:footnote w:id="165">
    <w:p w:rsidR="00B356AA" w:rsidRPr="005F3A9B" w:rsidRDefault="00B356AA" w:rsidP="002B6F11">
      <w:pPr>
        <w:spacing w:after="0"/>
        <w:rPr>
          <w:sz w:val="20"/>
          <w:szCs w:val="20"/>
        </w:rPr>
      </w:pPr>
      <w:r w:rsidRPr="009C5CA6">
        <w:rPr>
          <w:rStyle w:val="Appelnotedebasdep"/>
          <w:sz w:val="20"/>
          <w:szCs w:val="20"/>
          <w:vertAlign w:val="superscript"/>
        </w:rPr>
        <w:footnoteRef/>
      </w:r>
      <w:r w:rsidRPr="009C5CA6">
        <w:rPr>
          <w:i/>
          <w:iCs/>
          <w:sz w:val="20"/>
          <w:szCs w:val="20"/>
        </w:rPr>
        <w:t xml:space="preserve"> Tanudjaja</w:t>
      </w:r>
      <w:r w:rsidRPr="009C5CA6">
        <w:rPr>
          <w:iCs/>
          <w:sz w:val="20"/>
          <w:szCs w:val="20"/>
        </w:rPr>
        <w:t xml:space="preserve"> (SC) (</w:t>
      </w:r>
      <w:r w:rsidRPr="009C5CA6">
        <w:rPr>
          <w:i/>
          <w:iCs/>
          <w:sz w:val="20"/>
          <w:szCs w:val="20"/>
        </w:rPr>
        <w:t>Notice of Motion</w:t>
      </w:r>
      <w:r w:rsidRPr="009C5CA6">
        <w:rPr>
          <w:iCs/>
          <w:sz w:val="20"/>
          <w:szCs w:val="20"/>
        </w:rPr>
        <w:t>)</w:t>
      </w:r>
      <w:r w:rsidRPr="009C5CA6">
        <w:rPr>
          <w:sz w:val="20"/>
          <w:szCs w:val="20"/>
        </w:rPr>
        <w:t>.</w:t>
      </w:r>
    </w:p>
  </w:footnote>
  <w:footnote w:id="16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 </w:t>
      </w:r>
      <w:r w:rsidRPr="005F3A9B">
        <w:rPr>
          <w:i/>
          <w:iCs/>
          <w:sz w:val="20"/>
          <w:szCs w:val="20"/>
        </w:rPr>
        <w:t xml:space="preserve">Tanudjaja </w:t>
      </w:r>
      <w:r>
        <w:rPr>
          <w:iCs/>
          <w:sz w:val="20"/>
          <w:szCs w:val="20"/>
        </w:rPr>
        <w:t xml:space="preserve">(CA), </w:t>
      </w:r>
      <w:r w:rsidRPr="005F1CE4">
        <w:rPr>
          <w:i/>
          <w:iCs/>
          <w:sz w:val="20"/>
          <w:szCs w:val="20"/>
        </w:rPr>
        <w:t>supra</w:t>
      </w:r>
      <w:r>
        <w:rPr>
          <w:iCs/>
          <w:sz w:val="20"/>
          <w:szCs w:val="20"/>
        </w:rPr>
        <w:t xml:space="preserve"> note 158</w:t>
      </w:r>
      <w:r w:rsidRPr="005F3A9B">
        <w:rPr>
          <w:iCs/>
          <w:sz w:val="20"/>
          <w:szCs w:val="20"/>
        </w:rPr>
        <w:t xml:space="preserve"> (</w:t>
      </w:r>
      <w:r w:rsidRPr="005F3A9B">
        <w:rPr>
          <w:i/>
          <w:iCs/>
          <w:sz w:val="20"/>
          <w:szCs w:val="20"/>
        </w:rPr>
        <w:t xml:space="preserve">Factum of the Respondent, the Attorney General of Ontario </w:t>
      </w:r>
      <w:r w:rsidRPr="005F3A9B">
        <w:rPr>
          <w:iCs/>
          <w:sz w:val="20"/>
          <w:szCs w:val="20"/>
        </w:rPr>
        <w:t xml:space="preserve">at </w:t>
      </w:r>
      <w:r>
        <w:rPr>
          <w:iCs/>
          <w:sz w:val="20"/>
          <w:szCs w:val="20"/>
        </w:rPr>
        <w:t xml:space="preserve">para </w:t>
      </w:r>
      <w:r w:rsidRPr="005F3A9B">
        <w:rPr>
          <w:iCs/>
          <w:sz w:val="20"/>
          <w:szCs w:val="20"/>
        </w:rPr>
        <w:t>2)</w:t>
      </w:r>
      <w:r w:rsidRPr="005F3A9B">
        <w:rPr>
          <w:sz w:val="20"/>
          <w:szCs w:val="20"/>
        </w:rPr>
        <w:t>.</w:t>
      </w:r>
    </w:p>
  </w:footnote>
  <w:footnote w:id="16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24</w:t>
      </w:r>
      <w:r w:rsidRPr="005F3A9B">
        <w:rPr>
          <w:sz w:val="20"/>
          <w:szCs w:val="20"/>
        </w:rPr>
        <w:t>.</w:t>
      </w:r>
    </w:p>
  </w:footnote>
  <w:footnote w:id="16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 </w:t>
      </w:r>
      <w:r>
        <w:rPr>
          <w:iCs/>
          <w:sz w:val="20"/>
          <w:szCs w:val="20"/>
        </w:rPr>
        <w:t xml:space="preserve">(CA), </w:t>
      </w:r>
      <w:r w:rsidRPr="005F1CE4">
        <w:rPr>
          <w:i/>
          <w:iCs/>
          <w:sz w:val="20"/>
          <w:szCs w:val="20"/>
        </w:rPr>
        <w:t>ibid</w:t>
      </w:r>
      <w:r>
        <w:rPr>
          <w:iCs/>
          <w:sz w:val="20"/>
          <w:szCs w:val="20"/>
        </w:rPr>
        <w:t xml:space="preserve"> </w:t>
      </w:r>
      <w:r w:rsidRPr="005F3A9B">
        <w:rPr>
          <w:iCs/>
          <w:sz w:val="20"/>
          <w:szCs w:val="20"/>
        </w:rPr>
        <w:t>(</w:t>
      </w:r>
      <w:r w:rsidRPr="005F3A9B">
        <w:rPr>
          <w:i/>
          <w:iCs/>
          <w:sz w:val="20"/>
          <w:szCs w:val="20"/>
        </w:rPr>
        <w:t xml:space="preserve">Factum of the Respondent, the Attorney General of Canada </w:t>
      </w:r>
      <w:r w:rsidRPr="005F3A9B">
        <w:rPr>
          <w:iCs/>
          <w:sz w:val="20"/>
          <w:szCs w:val="20"/>
        </w:rPr>
        <w:t xml:space="preserve">at </w:t>
      </w:r>
      <w:r>
        <w:rPr>
          <w:iCs/>
          <w:sz w:val="20"/>
          <w:szCs w:val="20"/>
        </w:rPr>
        <w:t xml:space="preserve">para </w:t>
      </w:r>
      <w:r w:rsidRPr="005F3A9B">
        <w:rPr>
          <w:iCs/>
          <w:sz w:val="20"/>
          <w:szCs w:val="20"/>
        </w:rPr>
        <w:t>30)</w:t>
      </w:r>
      <w:r w:rsidRPr="005F3A9B">
        <w:rPr>
          <w:sz w:val="20"/>
          <w:szCs w:val="20"/>
        </w:rPr>
        <w:t>.</w:t>
      </w:r>
    </w:p>
  </w:footnote>
  <w:footnote w:id="16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 </w:t>
      </w:r>
      <w:r w:rsidRPr="005F3A9B">
        <w:rPr>
          <w:iCs/>
          <w:sz w:val="20"/>
          <w:szCs w:val="20"/>
        </w:rPr>
        <w:t>(SC),</w:t>
      </w:r>
      <w:r w:rsidRPr="005F3A9B">
        <w:rPr>
          <w:i/>
          <w:iCs/>
          <w:sz w:val="20"/>
          <w:szCs w:val="20"/>
        </w:rPr>
        <w:t xml:space="preserve"> supra </w:t>
      </w:r>
      <w:r>
        <w:rPr>
          <w:iCs/>
          <w:sz w:val="20"/>
          <w:szCs w:val="20"/>
        </w:rPr>
        <w:t>note 158 at para 152</w:t>
      </w:r>
      <w:r w:rsidRPr="005F3A9B">
        <w:rPr>
          <w:sz w:val="20"/>
          <w:szCs w:val="20"/>
        </w:rPr>
        <w:t>.</w:t>
      </w:r>
    </w:p>
  </w:footnote>
  <w:footnote w:id="170">
    <w:p w:rsidR="00B356AA" w:rsidRPr="005F3A9B" w:rsidRDefault="00B356AA" w:rsidP="000A08C1">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976130">
        <w:rPr>
          <w:iCs/>
          <w:sz w:val="20"/>
          <w:szCs w:val="20"/>
        </w:rPr>
        <w:t>at</w:t>
      </w:r>
      <w:r>
        <w:rPr>
          <w:iCs/>
          <w:sz w:val="20"/>
          <w:szCs w:val="20"/>
        </w:rPr>
        <w:t xml:space="preserve"> para 113</w:t>
      </w:r>
      <w:r w:rsidRPr="005F3A9B">
        <w:rPr>
          <w:sz w:val="20"/>
          <w:szCs w:val="20"/>
        </w:rPr>
        <w:t>.</w:t>
      </w:r>
    </w:p>
  </w:footnote>
  <w:footnote w:id="171">
    <w:p w:rsidR="00B356AA" w:rsidRPr="005F3A9B" w:rsidRDefault="00B356AA" w:rsidP="000A08C1">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81</w:t>
      </w:r>
      <w:r w:rsidRPr="005F3A9B">
        <w:rPr>
          <w:sz w:val="20"/>
          <w:szCs w:val="20"/>
        </w:rPr>
        <w:t>.</w:t>
      </w:r>
    </w:p>
  </w:footnote>
  <w:footnote w:id="17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paras 55-56</w:t>
      </w:r>
      <w:r w:rsidRPr="005F3A9B">
        <w:rPr>
          <w:sz w:val="20"/>
          <w:szCs w:val="20"/>
        </w:rPr>
        <w:t>.</w:t>
      </w:r>
    </w:p>
  </w:footnote>
  <w:footnote w:id="17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paras 147-148</w:t>
      </w:r>
      <w:r w:rsidRPr="005F3A9B">
        <w:rPr>
          <w:sz w:val="20"/>
          <w:szCs w:val="20"/>
        </w:rPr>
        <w:t>.</w:t>
      </w:r>
    </w:p>
  </w:footnote>
  <w:footnote w:id="17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 </w:t>
      </w:r>
      <w:r w:rsidRPr="005F3A9B">
        <w:rPr>
          <w:iCs/>
          <w:sz w:val="20"/>
          <w:szCs w:val="20"/>
        </w:rPr>
        <w:t>(CA),</w:t>
      </w:r>
      <w:r w:rsidRPr="005F3A9B">
        <w:rPr>
          <w:i/>
          <w:iCs/>
          <w:sz w:val="20"/>
          <w:szCs w:val="20"/>
        </w:rPr>
        <w:t xml:space="preserve"> supra </w:t>
      </w:r>
      <w:r w:rsidRPr="005F3A9B">
        <w:rPr>
          <w:iCs/>
          <w:sz w:val="20"/>
          <w:szCs w:val="20"/>
        </w:rPr>
        <w:t xml:space="preserve">note </w:t>
      </w:r>
      <w:r>
        <w:rPr>
          <w:iCs/>
          <w:sz w:val="20"/>
          <w:szCs w:val="20"/>
        </w:rPr>
        <w:t>158</w:t>
      </w:r>
      <w:r w:rsidRPr="005F3A9B">
        <w:rPr>
          <w:iCs/>
          <w:sz w:val="20"/>
          <w:szCs w:val="20"/>
        </w:rPr>
        <w:t xml:space="preserve"> at </w:t>
      </w:r>
      <w:r>
        <w:rPr>
          <w:iCs/>
          <w:sz w:val="20"/>
          <w:szCs w:val="20"/>
        </w:rPr>
        <w:t>para 39</w:t>
      </w:r>
      <w:r w:rsidRPr="005F3A9B">
        <w:rPr>
          <w:sz w:val="20"/>
          <w:szCs w:val="20"/>
        </w:rPr>
        <w:t>.</w:t>
      </w:r>
    </w:p>
  </w:footnote>
  <w:footnote w:id="17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62</w:t>
      </w:r>
      <w:r w:rsidRPr="005F3A9B">
        <w:rPr>
          <w:sz w:val="20"/>
          <w:szCs w:val="20"/>
        </w:rPr>
        <w:t>.</w:t>
      </w:r>
    </w:p>
  </w:footnote>
  <w:footnote w:id="17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64.</w:t>
      </w:r>
    </w:p>
  </w:footnote>
  <w:footnote w:id="177">
    <w:p w:rsidR="00B356AA" w:rsidRPr="005F3A9B" w:rsidRDefault="00B356AA" w:rsidP="005F1593">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Pr>
          <w:iCs/>
          <w:sz w:val="20"/>
          <w:szCs w:val="20"/>
        </w:rPr>
        <w:t xml:space="preserve"> para 49</w:t>
      </w:r>
      <w:r w:rsidRPr="005F3A9B">
        <w:rPr>
          <w:iCs/>
          <w:sz w:val="20"/>
          <w:szCs w:val="20"/>
        </w:rPr>
        <w:t>.</w:t>
      </w:r>
    </w:p>
  </w:footnote>
  <w:footnote w:id="17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39.</w:t>
      </w:r>
    </w:p>
  </w:footnote>
  <w:footnote w:id="179">
    <w:p w:rsidR="00B356AA" w:rsidRPr="005F3A9B" w:rsidRDefault="00B356AA" w:rsidP="00547D74">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Pr>
          <w:iCs/>
          <w:sz w:val="20"/>
          <w:szCs w:val="20"/>
        </w:rPr>
        <w:t xml:space="preserve"> para 30</w:t>
      </w:r>
      <w:r w:rsidRPr="005F3A9B">
        <w:rPr>
          <w:iCs/>
          <w:sz w:val="20"/>
          <w:szCs w:val="20"/>
        </w:rPr>
        <w:t>.</w:t>
      </w:r>
    </w:p>
  </w:footnote>
  <w:footnote w:id="18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27.</w:t>
      </w:r>
    </w:p>
  </w:footnote>
  <w:footnote w:id="181">
    <w:p w:rsidR="00B356AA" w:rsidRPr="005F3A9B" w:rsidRDefault="00B356AA" w:rsidP="00922AF3">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19.</w:t>
      </w:r>
    </w:p>
  </w:footnote>
  <w:footnote w:id="182">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w:t>
      </w:r>
      <w:r>
        <w:rPr>
          <w:i/>
          <w:iCs/>
          <w:sz w:val="20"/>
          <w:szCs w:val="20"/>
        </w:rPr>
        <w:t xml:space="preserve">Ibid </w:t>
      </w:r>
      <w:r w:rsidRPr="00E4676E">
        <w:rPr>
          <w:iCs/>
          <w:sz w:val="20"/>
          <w:szCs w:val="20"/>
        </w:rPr>
        <w:t>at</w:t>
      </w:r>
      <w:r w:rsidRPr="005F3A9B">
        <w:rPr>
          <w:iCs/>
          <w:sz w:val="20"/>
          <w:szCs w:val="20"/>
        </w:rPr>
        <w:t xml:space="preserve"> </w:t>
      </w:r>
      <w:r>
        <w:rPr>
          <w:iCs/>
          <w:sz w:val="20"/>
          <w:szCs w:val="20"/>
        </w:rPr>
        <w:t xml:space="preserve">para </w:t>
      </w:r>
      <w:r w:rsidRPr="005F3A9B">
        <w:rPr>
          <w:iCs/>
          <w:sz w:val="20"/>
          <w:szCs w:val="20"/>
        </w:rPr>
        <w:t>37.</w:t>
      </w:r>
    </w:p>
  </w:footnote>
  <w:footnote w:id="183">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Supra </w:t>
      </w:r>
      <w:r>
        <w:rPr>
          <w:iCs/>
          <w:sz w:val="20"/>
          <w:szCs w:val="20"/>
        </w:rPr>
        <w:t>note 158.</w:t>
      </w:r>
    </w:p>
  </w:footnote>
  <w:footnote w:id="184">
    <w:p w:rsidR="00B356AA" w:rsidRPr="005F3A9B" w:rsidRDefault="00B356AA" w:rsidP="00571386">
      <w:pPr>
        <w:spacing w:after="0"/>
        <w:rPr>
          <w:sz w:val="20"/>
          <w:szCs w:val="20"/>
        </w:rPr>
      </w:pPr>
      <w:r w:rsidRPr="005F3A9B">
        <w:rPr>
          <w:rStyle w:val="Appelnotedebasdep"/>
          <w:sz w:val="20"/>
          <w:szCs w:val="20"/>
          <w:vertAlign w:val="superscript"/>
        </w:rPr>
        <w:footnoteRef/>
      </w:r>
      <w:r w:rsidRPr="005F3A9B">
        <w:rPr>
          <w:i/>
          <w:iCs/>
          <w:sz w:val="20"/>
          <w:szCs w:val="20"/>
        </w:rPr>
        <w:t xml:space="preserve"> Supra </w:t>
      </w:r>
      <w:r>
        <w:rPr>
          <w:iCs/>
          <w:sz w:val="20"/>
          <w:szCs w:val="20"/>
        </w:rPr>
        <w:t>note 70.</w:t>
      </w:r>
    </w:p>
  </w:footnote>
  <w:footnote w:id="185">
    <w:p w:rsidR="00B356AA" w:rsidRPr="005F3A9B" w:rsidRDefault="00B356AA" w:rsidP="005D7EB9">
      <w:pPr>
        <w:spacing w:after="0"/>
        <w:rPr>
          <w:sz w:val="20"/>
          <w:szCs w:val="20"/>
        </w:rPr>
      </w:pPr>
      <w:r w:rsidRPr="005F3A9B">
        <w:rPr>
          <w:rStyle w:val="Appelnotedebasdep"/>
          <w:sz w:val="20"/>
          <w:szCs w:val="20"/>
          <w:vertAlign w:val="superscript"/>
        </w:rPr>
        <w:footnoteRef/>
      </w:r>
      <w:r>
        <w:rPr>
          <w:iCs/>
          <w:sz w:val="20"/>
          <w:szCs w:val="20"/>
        </w:rPr>
        <w:t xml:space="preserve">See for example </w:t>
      </w:r>
      <w:r>
        <w:rPr>
          <w:i/>
          <w:iCs/>
          <w:sz w:val="20"/>
          <w:szCs w:val="20"/>
        </w:rPr>
        <w:t xml:space="preserve">New Brunswick </w:t>
      </w:r>
      <w:r w:rsidRPr="0071714E">
        <w:rPr>
          <w:i/>
          <w:iCs/>
          <w:sz w:val="20"/>
          <w:szCs w:val="20"/>
        </w:rPr>
        <w:t xml:space="preserve"> v G(J)</w:t>
      </w:r>
      <w:r>
        <w:rPr>
          <w:iCs/>
          <w:sz w:val="20"/>
          <w:szCs w:val="20"/>
        </w:rPr>
        <w:t xml:space="preserve">, </w:t>
      </w:r>
      <w:r w:rsidRPr="00186BE8">
        <w:rPr>
          <w:i/>
          <w:iCs/>
          <w:sz w:val="20"/>
          <w:szCs w:val="20"/>
        </w:rPr>
        <w:t>supra</w:t>
      </w:r>
      <w:r>
        <w:rPr>
          <w:iCs/>
          <w:sz w:val="20"/>
          <w:szCs w:val="20"/>
        </w:rPr>
        <w:t xml:space="preserve"> note 102; </w:t>
      </w:r>
      <w:r w:rsidRPr="0071714E">
        <w:rPr>
          <w:i/>
          <w:iCs/>
          <w:sz w:val="20"/>
          <w:szCs w:val="20"/>
        </w:rPr>
        <w:t>Canada (Attorney General) v PHS Community Services Society (Insite)</w:t>
      </w:r>
      <w:r>
        <w:rPr>
          <w:iCs/>
          <w:sz w:val="20"/>
          <w:szCs w:val="20"/>
        </w:rPr>
        <w:t xml:space="preserve">, [2011] 3 SCR 134; and see generally Jackman &amp; Porter, “Rights-Based Strategies”, </w:t>
      </w:r>
      <w:r w:rsidRPr="00204432">
        <w:rPr>
          <w:i/>
          <w:iCs/>
          <w:sz w:val="20"/>
          <w:szCs w:val="20"/>
        </w:rPr>
        <w:t>supra</w:t>
      </w:r>
      <w:r>
        <w:rPr>
          <w:iCs/>
          <w:sz w:val="20"/>
          <w:szCs w:val="20"/>
        </w:rPr>
        <w:t xml:space="preserve"> note 88; Margot Young, “Section 7: The Right to Life, Liberty and Security of the Person” in Oliver, </w:t>
      </w:r>
      <w:r w:rsidRPr="00B356AA">
        <w:rPr>
          <w:i/>
          <w:iCs/>
          <w:sz w:val="20"/>
          <w:szCs w:val="20"/>
        </w:rPr>
        <w:t>Oxford Handbook</w:t>
      </w:r>
      <w:r>
        <w:rPr>
          <w:iCs/>
          <w:sz w:val="20"/>
          <w:szCs w:val="20"/>
        </w:rPr>
        <w:t xml:space="preserve">, </w:t>
      </w:r>
      <w:r w:rsidRPr="00B356AA">
        <w:rPr>
          <w:i/>
          <w:iCs/>
          <w:sz w:val="20"/>
          <w:szCs w:val="20"/>
        </w:rPr>
        <w:t>supra</w:t>
      </w:r>
      <w:r>
        <w:rPr>
          <w:iCs/>
          <w:sz w:val="20"/>
          <w:szCs w:val="20"/>
        </w:rPr>
        <w:t xml:space="preserve"> note 75 at 777.</w:t>
      </w:r>
    </w:p>
  </w:footnote>
  <w:footnote w:id="186">
    <w:p w:rsidR="00B356AA" w:rsidRPr="005F3A9B" w:rsidRDefault="00B356AA" w:rsidP="005F3A9B">
      <w:pPr>
        <w:spacing w:after="0"/>
        <w:rPr>
          <w:sz w:val="20"/>
          <w:szCs w:val="20"/>
        </w:rPr>
      </w:pPr>
      <w:r w:rsidRPr="005F3A9B">
        <w:rPr>
          <w:rStyle w:val="Appelnotedebasdep"/>
          <w:sz w:val="20"/>
          <w:szCs w:val="20"/>
          <w:vertAlign w:val="superscript"/>
        </w:rPr>
        <w:footnoteRef/>
      </w:r>
      <w:r>
        <w:rPr>
          <w:i/>
          <w:iCs/>
          <w:sz w:val="20"/>
          <w:szCs w:val="20"/>
        </w:rPr>
        <w:t xml:space="preserve"> Tanudjaja</w:t>
      </w:r>
      <w:r>
        <w:rPr>
          <w:iCs/>
          <w:sz w:val="20"/>
          <w:szCs w:val="20"/>
        </w:rPr>
        <w:t xml:space="preserve"> (SC), </w:t>
      </w:r>
      <w:r w:rsidRPr="005D7EB9">
        <w:rPr>
          <w:i/>
          <w:iCs/>
          <w:sz w:val="20"/>
          <w:szCs w:val="20"/>
        </w:rPr>
        <w:t>supra</w:t>
      </w:r>
      <w:r>
        <w:rPr>
          <w:iCs/>
          <w:sz w:val="20"/>
          <w:szCs w:val="20"/>
        </w:rPr>
        <w:t xml:space="preserve"> note 158</w:t>
      </w:r>
      <w:r w:rsidRPr="005F3A9B">
        <w:rPr>
          <w:i/>
          <w:iCs/>
          <w:sz w:val="20"/>
          <w:szCs w:val="20"/>
        </w:rPr>
        <w:t xml:space="preserve"> </w:t>
      </w:r>
      <w:r w:rsidRPr="005F3A9B">
        <w:rPr>
          <w:iCs/>
          <w:sz w:val="20"/>
          <w:szCs w:val="20"/>
        </w:rPr>
        <w:t xml:space="preserve">at </w:t>
      </w:r>
      <w:r>
        <w:rPr>
          <w:iCs/>
          <w:sz w:val="20"/>
          <w:szCs w:val="20"/>
        </w:rPr>
        <w:t xml:space="preserve">para </w:t>
      </w:r>
      <w:r w:rsidRPr="005F3A9B">
        <w:rPr>
          <w:iCs/>
          <w:sz w:val="20"/>
          <w:szCs w:val="20"/>
        </w:rPr>
        <w:t>120</w:t>
      </w:r>
      <w:r w:rsidRPr="005F3A9B">
        <w:rPr>
          <w:sz w:val="20"/>
          <w:szCs w:val="20"/>
        </w:rPr>
        <w:t>.</w:t>
      </w:r>
    </w:p>
  </w:footnote>
  <w:footnote w:id="187">
    <w:p w:rsidR="00B356AA" w:rsidRPr="005F3A9B" w:rsidRDefault="00B356AA" w:rsidP="008E4AAE">
      <w:pPr>
        <w:spacing w:after="0"/>
        <w:rPr>
          <w:sz w:val="20"/>
          <w:szCs w:val="20"/>
        </w:rPr>
      </w:pPr>
      <w:r w:rsidRPr="005F3A9B">
        <w:rPr>
          <w:rStyle w:val="Appelnotedebasdep"/>
          <w:sz w:val="20"/>
          <w:szCs w:val="20"/>
          <w:vertAlign w:val="superscript"/>
        </w:rPr>
        <w:footnoteRef/>
      </w:r>
      <w:r>
        <w:rPr>
          <w:sz w:val="20"/>
          <w:szCs w:val="20"/>
        </w:rPr>
        <w:t xml:space="preserve"> See generally Sanda Rodgers “Getting Heard: Leave to Appeal, Interveners and Procedural Barriers to Social Justice in the Supreme Court of Canada” in </w:t>
      </w:r>
      <w:r w:rsidRPr="00337455">
        <w:rPr>
          <w:sz w:val="20"/>
          <w:szCs w:val="20"/>
        </w:rPr>
        <w:t>Sanda R</w:t>
      </w:r>
      <w:r>
        <w:rPr>
          <w:sz w:val="20"/>
          <w:szCs w:val="20"/>
        </w:rPr>
        <w:t>odgers and Sheila McIntyre, eds</w:t>
      </w:r>
      <w:r w:rsidRPr="00337455">
        <w:rPr>
          <w:sz w:val="20"/>
          <w:szCs w:val="20"/>
        </w:rPr>
        <w:t xml:space="preserve">, </w:t>
      </w:r>
      <w:r w:rsidRPr="00337455">
        <w:rPr>
          <w:i/>
          <w:sz w:val="20"/>
          <w:szCs w:val="20"/>
        </w:rPr>
        <w:t>The Supreme Court of Canada and Social Justice: Commitment, Retrenchment or Retreat</w:t>
      </w:r>
      <w:r w:rsidRPr="00337455">
        <w:rPr>
          <w:sz w:val="20"/>
          <w:szCs w:val="20"/>
        </w:rPr>
        <w:t xml:space="preserve"> (Markham: LexisNexis Canada, 2011) </w:t>
      </w:r>
      <w:r>
        <w:rPr>
          <w:sz w:val="20"/>
          <w:szCs w:val="20"/>
        </w:rPr>
        <w:t>1; Gwen Brodsky, “</w:t>
      </w:r>
      <w:r w:rsidRPr="008E4AAE">
        <w:rPr>
          <w:sz w:val="20"/>
          <w:szCs w:val="20"/>
        </w:rPr>
        <w:t xml:space="preserve">The Subversion of Human </w:t>
      </w:r>
      <w:r>
        <w:rPr>
          <w:sz w:val="20"/>
          <w:szCs w:val="20"/>
        </w:rPr>
        <w:t>Rights by Governments in Canada”</w:t>
      </w:r>
      <w:r w:rsidRPr="008E4AAE">
        <w:rPr>
          <w:sz w:val="20"/>
          <w:szCs w:val="20"/>
        </w:rPr>
        <w:t xml:space="preserve"> in </w:t>
      </w:r>
      <w:r>
        <w:rPr>
          <w:sz w:val="20"/>
          <w:szCs w:val="20"/>
        </w:rPr>
        <w:t xml:space="preserve">Jackman &amp; Porter, </w:t>
      </w:r>
      <w:r w:rsidRPr="00F46062">
        <w:rPr>
          <w:i/>
          <w:sz w:val="20"/>
          <w:szCs w:val="20"/>
        </w:rPr>
        <w:t>Advancing Social Rights</w:t>
      </w:r>
      <w:r>
        <w:rPr>
          <w:sz w:val="20"/>
          <w:szCs w:val="20"/>
        </w:rPr>
        <w:t xml:space="preserve">, </w:t>
      </w:r>
      <w:r w:rsidRPr="00F46062">
        <w:rPr>
          <w:i/>
          <w:sz w:val="20"/>
          <w:szCs w:val="20"/>
        </w:rPr>
        <w:t>supra</w:t>
      </w:r>
      <w:r>
        <w:rPr>
          <w:sz w:val="20"/>
          <w:szCs w:val="20"/>
        </w:rPr>
        <w:t xml:space="preserve"> note 71 35</w:t>
      </w:r>
      <w:r>
        <w:rPr>
          <w:i/>
          <w:sz w:val="20"/>
          <w:szCs w:val="20"/>
        </w:rPr>
        <w:t>.</w:t>
      </w:r>
    </w:p>
  </w:footnote>
  <w:footnote w:id="188">
    <w:p w:rsidR="00B356AA" w:rsidRPr="005F3A9B" w:rsidRDefault="00B356AA" w:rsidP="00571386">
      <w:pPr>
        <w:spacing w:after="0"/>
        <w:rPr>
          <w:sz w:val="20"/>
          <w:szCs w:val="20"/>
        </w:rPr>
      </w:pPr>
      <w:r w:rsidRPr="005F3A9B">
        <w:rPr>
          <w:rStyle w:val="Appelnotedebasdep"/>
          <w:sz w:val="20"/>
          <w:szCs w:val="20"/>
          <w:vertAlign w:val="superscript"/>
        </w:rPr>
        <w:footnoteRef/>
      </w:r>
      <w:r w:rsidRPr="005F1CE4">
        <w:rPr>
          <w:i/>
          <w:iCs/>
          <w:sz w:val="20"/>
          <w:szCs w:val="20"/>
        </w:rPr>
        <w:t>Banks</w:t>
      </w:r>
      <w:r>
        <w:rPr>
          <w:iCs/>
          <w:sz w:val="20"/>
          <w:szCs w:val="20"/>
        </w:rPr>
        <w:t xml:space="preserve"> (CJ), </w:t>
      </w:r>
      <w:r w:rsidRPr="002D3EA3">
        <w:rPr>
          <w:i/>
          <w:iCs/>
          <w:sz w:val="20"/>
          <w:szCs w:val="20"/>
        </w:rPr>
        <w:t>supra</w:t>
      </w:r>
      <w:r>
        <w:rPr>
          <w:iCs/>
          <w:sz w:val="20"/>
          <w:szCs w:val="20"/>
        </w:rPr>
        <w:t xml:space="preserve"> note 155, aff’d </w:t>
      </w:r>
      <w:r w:rsidRPr="005F1CE4">
        <w:rPr>
          <w:i/>
          <w:iCs/>
          <w:sz w:val="20"/>
          <w:szCs w:val="20"/>
        </w:rPr>
        <w:t>R v Banks</w:t>
      </w:r>
      <w:r>
        <w:rPr>
          <w:iCs/>
          <w:sz w:val="20"/>
          <w:szCs w:val="20"/>
        </w:rPr>
        <w:t xml:space="preserve">, </w:t>
      </w:r>
      <w:r w:rsidRPr="00AC4847">
        <w:rPr>
          <w:iCs/>
          <w:sz w:val="20"/>
          <w:szCs w:val="20"/>
        </w:rPr>
        <w:t>[2005] OJ No 98</w:t>
      </w:r>
      <w:r>
        <w:rPr>
          <w:iCs/>
          <w:sz w:val="20"/>
          <w:szCs w:val="20"/>
        </w:rPr>
        <w:t xml:space="preserve"> [</w:t>
      </w:r>
      <w:r w:rsidRPr="00322D22">
        <w:rPr>
          <w:i/>
          <w:iCs/>
          <w:sz w:val="20"/>
          <w:szCs w:val="20"/>
        </w:rPr>
        <w:t>Banks</w:t>
      </w:r>
      <w:r>
        <w:rPr>
          <w:iCs/>
          <w:sz w:val="20"/>
          <w:szCs w:val="20"/>
        </w:rPr>
        <w:t xml:space="preserve"> (SC)]; aff’d </w:t>
      </w:r>
      <w:r>
        <w:rPr>
          <w:i/>
          <w:iCs/>
          <w:sz w:val="20"/>
          <w:szCs w:val="20"/>
        </w:rPr>
        <w:t>R v Banks</w:t>
      </w:r>
      <w:r>
        <w:rPr>
          <w:iCs/>
          <w:sz w:val="20"/>
          <w:szCs w:val="20"/>
        </w:rPr>
        <w:t>,</w:t>
      </w:r>
      <w:r>
        <w:rPr>
          <w:i/>
          <w:iCs/>
          <w:sz w:val="20"/>
          <w:szCs w:val="20"/>
        </w:rPr>
        <w:t xml:space="preserve"> </w:t>
      </w:r>
      <w:r>
        <w:rPr>
          <w:iCs/>
          <w:sz w:val="20"/>
          <w:szCs w:val="20"/>
        </w:rPr>
        <w:t>[2007] OJ No 99 (CA) [</w:t>
      </w:r>
      <w:r w:rsidRPr="005F1CE4">
        <w:rPr>
          <w:i/>
          <w:iCs/>
          <w:sz w:val="20"/>
          <w:szCs w:val="20"/>
        </w:rPr>
        <w:t>Banks</w:t>
      </w:r>
      <w:r>
        <w:rPr>
          <w:iCs/>
          <w:sz w:val="20"/>
          <w:szCs w:val="20"/>
        </w:rPr>
        <w:t xml:space="preserve"> (CA)]; leave to appeal refused, [2007] SCCA no 139</w:t>
      </w:r>
      <w:r w:rsidRPr="005F3A9B">
        <w:rPr>
          <w:sz w:val="20"/>
          <w:szCs w:val="20"/>
        </w:rPr>
        <w:t>.</w:t>
      </w:r>
    </w:p>
  </w:footnote>
  <w:footnote w:id="189">
    <w:p w:rsidR="00B356AA" w:rsidRPr="005F3A9B" w:rsidRDefault="00B356AA" w:rsidP="002D3EA3">
      <w:pPr>
        <w:spacing w:after="0"/>
        <w:rPr>
          <w:sz w:val="20"/>
          <w:szCs w:val="20"/>
        </w:rPr>
      </w:pPr>
      <w:r w:rsidRPr="005F3A9B">
        <w:rPr>
          <w:rStyle w:val="Appelnotedebasdep"/>
          <w:sz w:val="20"/>
          <w:szCs w:val="20"/>
          <w:vertAlign w:val="superscript"/>
        </w:rPr>
        <w:footnoteRef/>
      </w:r>
      <w:r>
        <w:rPr>
          <w:i/>
          <w:iCs/>
          <w:sz w:val="20"/>
          <w:szCs w:val="20"/>
        </w:rPr>
        <w:t xml:space="preserve"> </w:t>
      </w:r>
      <w:r>
        <w:rPr>
          <w:iCs/>
          <w:sz w:val="20"/>
          <w:szCs w:val="20"/>
        </w:rPr>
        <w:t>SO 1999, c 8.</w:t>
      </w:r>
    </w:p>
  </w:footnote>
  <w:footnote w:id="190">
    <w:p w:rsidR="00B356AA" w:rsidRPr="005F3A9B" w:rsidRDefault="00B356AA" w:rsidP="0068367A">
      <w:pPr>
        <w:spacing w:after="0"/>
        <w:rPr>
          <w:sz w:val="20"/>
          <w:szCs w:val="20"/>
        </w:rPr>
      </w:pPr>
      <w:r w:rsidRPr="005F3A9B">
        <w:rPr>
          <w:rStyle w:val="Appelnotedebasdep"/>
          <w:sz w:val="20"/>
          <w:szCs w:val="20"/>
          <w:vertAlign w:val="superscript"/>
        </w:rPr>
        <w:footnoteRef/>
      </w:r>
      <w:r>
        <w:rPr>
          <w:i/>
          <w:iCs/>
          <w:sz w:val="20"/>
          <w:szCs w:val="20"/>
        </w:rPr>
        <w:t xml:space="preserve"> Banks </w:t>
      </w:r>
      <w:r>
        <w:rPr>
          <w:iCs/>
          <w:sz w:val="20"/>
          <w:szCs w:val="20"/>
        </w:rPr>
        <w:t xml:space="preserve">(CA), </w:t>
      </w:r>
      <w:r>
        <w:rPr>
          <w:i/>
          <w:iCs/>
          <w:sz w:val="20"/>
          <w:szCs w:val="20"/>
        </w:rPr>
        <w:t xml:space="preserve">supra </w:t>
      </w:r>
      <w:r>
        <w:rPr>
          <w:iCs/>
          <w:sz w:val="20"/>
          <w:szCs w:val="20"/>
        </w:rPr>
        <w:t xml:space="preserve">note 188 at para 81; </w:t>
      </w:r>
      <w:r w:rsidRPr="00245B14">
        <w:rPr>
          <w:i/>
          <w:iCs/>
          <w:sz w:val="20"/>
          <w:szCs w:val="20"/>
        </w:rPr>
        <w:t>Banks</w:t>
      </w:r>
      <w:r>
        <w:rPr>
          <w:iCs/>
          <w:sz w:val="20"/>
          <w:szCs w:val="20"/>
        </w:rPr>
        <w:t xml:space="preserve"> (SC), </w:t>
      </w:r>
      <w:r w:rsidRPr="00245B14">
        <w:rPr>
          <w:i/>
          <w:iCs/>
          <w:sz w:val="20"/>
          <w:szCs w:val="20"/>
        </w:rPr>
        <w:t>supra</w:t>
      </w:r>
      <w:r>
        <w:rPr>
          <w:iCs/>
          <w:sz w:val="20"/>
          <w:szCs w:val="20"/>
        </w:rPr>
        <w:t xml:space="preserve"> note 155 at para 50</w:t>
      </w:r>
      <w:r w:rsidRPr="005F3A9B">
        <w:rPr>
          <w:sz w:val="20"/>
          <w:szCs w:val="20"/>
        </w:rPr>
        <w:t>.</w:t>
      </w:r>
    </w:p>
  </w:footnote>
  <w:footnote w:id="191">
    <w:p w:rsidR="00B356AA" w:rsidRPr="005F3A9B" w:rsidRDefault="00B356AA" w:rsidP="0068367A">
      <w:pPr>
        <w:spacing w:after="0"/>
        <w:rPr>
          <w:sz w:val="20"/>
          <w:szCs w:val="20"/>
        </w:rPr>
      </w:pPr>
      <w:r w:rsidRPr="005F3A9B">
        <w:rPr>
          <w:rStyle w:val="Appelnotedebasdep"/>
          <w:sz w:val="20"/>
          <w:szCs w:val="20"/>
          <w:vertAlign w:val="superscript"/>
        </w:rPr>
        <w:footnoteRef/>
      </w:r>
      <w:r>
        <w:rPr>
          <w:i/>
          <w:iCs/>
          <w:sz w:val="20"/>
          <w:szCs w:val="20"/>
        </w:rPr>
        <w:t xml:space="preserve"> </w:t>
      </w:r>
      <w:r w:rsidRPr="0068367A">
        <w:rPr>
          <w:i/>
          <w:iCs/>
          <w:sz w:val="20"/>
          <w:szCs w:val="20"/>
        </w:rPr>
        <w:t>Banks</w:t>
      </w:r>
      <w:r>
        <w:rPr>
          <w:iCs/>
          <w:sz w:val="20"/>
          <w:szCs w:val="20"/>
        </w:rPr>
        <w:t xml:space="preserve"> (SC), </w:t>
      </w:r>
      <w:r>
        <w:rPr>
          <w:i/>
          <w:iCs/>
          <w:sz w:val="20"/>
          <w:szCs w:val="20"/>
        </w:rPr>
        <w:t xml:space="preserve">ibid </w:t>
      </w:r>
      <w:r>
        <w:rPr>
          <w:iCs/>
          <w:sz w:val="20"/>
          <w:szCs w:val="20"/>
        </w:rPr>
        <w:t>at para 51.</w:t>
      </w:r>
    </w:p>
  </w:footnote>
  <w:footnote w:id="192">
    <w:p w:rsidR="00B356AA" w:rsidRPr="005F3A9B" w:rsidRDefault="00B356AA" w:rsidP="00424CAE">
      <w:pPr>
        <w:spacing w:after="0"/>
        <w:rPr>
          <w:sz w:val="20"/>
          <w:szCs w:val="20"/>
        </w:rPr>
      </w:pPr>
      <w:r w:rsidRPr="005F3A9B">
        <w:rPr>
          <w:rStyle w:val="Appelnotedebasdep"/>
          <w:sz w:val="20"/>
          <w:szCs w:val="20"/>
          <w:vertAlign w:val="superscript"/>
        </w:rPr>
        <w:footnoteRef/>
      </w:r>
      <w:r>
        <w:rPr>
          <w:i/>
          <w:iCs/>
          <w:sz w:val="20"/>
          <w:szCs w:val="20"/>
        </w:rPr>
        <w:t xml:space="preserve"> </w:t>
      </w:r>
      <w:r w:rsidRPr="006C5BA5">
        <w:rPr>
          <w:i/>
          <w:iCs/>
          <w:sz w:val="20"/>
          <w:szCs w:val="20"/>
        </w:rPr>
        <w:t>Canadian Bar Assn. v British Columbia</w:t>
      </w:r>
      <w:r>
        <w:rPr>
          <w:iCs/>
          <w:sz w:val="20"/>
          <w:szCs w:val="20"/>
        </w:rPr>
        <w:t xml:space="preserve">, [2006] BCJ No. 2015 (SC), aff’d </w:t>
      </w:r>
      <w:r w:rsidRPr="006C5BA5">
        <w:rPr>
          <w:i/>
          <w:iCs/>
          <w:sz w:val="20"/>
          <w:szCs w:val="20"/>
        </w:rPr>
        <w:t>Canadian Bar Assn. v British Columbia</w:t>
      </w:r>
      <w:r>
        <w:rPr>
          <w:iCs/>
          <w:sz w:val="20"/>
          <w:szCs w:val="20"/>
        </w:rPr>
        <w:t>, [2008] BCJ No 350 (CA) [</w:t>
      </w:r>
      <w:r w:rsidRPr="006C5BA5">
        <w:rPr>
          <w:i/>
          <w:iCs/>
          <w:sz w:val="20"/>
          <w:szCs w:val="20"/>
        </w:rPr>
        <w:t>Canadian Bar Assn.</w:t>
      </w:r>
      <w:r>
        <w:rPr>
          <w:iCs/>
          <w:sz w:val="20"/>
          <w:szCs w:val="20"/>
        </w:rPr>
        <w:t xml:space="preserve"> (CA)], leave to appeal refused, [2008] SCCA no 185</w:t>
      </w:r>
      <w:r>
        <w:rPr>
          <w:sz w:val="20"/>
          <w:szCs w:val="20"/>
        </w:rPr>
        <w:t>. See Kerri Froc, “</w:t>
      </w:r>
      <w:r w:rsidRPr="00424CAE">
        <w:rPr>
          <w:sz w:val="20"/>
          <w:szCs w:val="20"/>
        </w:rPr>
        <w:t>Is The Rule of Law the Golde</w:t>
      </w:r>
      <w:r>
        <w:rPr>
          <w:sz w:val="20"/>
          <w:szCs w:val="20"/>
        </w:rPr>
        <w:t>n Rule? Accessing “Justice” for Canada’s Poor”</w:t>
      </w:r>
      <w:r w:rsidRPr="00424CAE">
        <w:rPr>
          <w:sz w:val="20"/>
          <w:szCs w:val="20"/>
        </w:rPr>
        <w:t xml:space="preserve"> (2008) 87 Canadian Bar Review 459</w:t>
      </w:r>
      <w:r>
        <w:rPr>
          <w:sz w:val="20"/>
          <w:szCs w:val="20"/>
        </w:rPr>
        <w:t xml:space="preserve">; Jackman, “Constitutional Castaways”, </w:t>
      </w:r>
      <w:r w:rsidRPr="00424CAE">
        <w:rPr>
          <w:i/>
          <w:sz w:val="20"/>
          <w:szCs w:val="20"/>
        </w:rPr>
        <w:t>supra</w:t>
      </w:r>
      <w:r>
        <w:rPr>
          <w:sz w:val="20"/>
          <w:szCs w:val="20"/>
        </w:rPr>
        <w:t xml:space="preserve"> note 157.</w:t>
      </w:r>
    </w:p>
  </w:footnote>
  <w:footnote w:id="193">
    <w:p w:rsidR="00B356AA" w:rsidRPr="005F3A9B" w:rsidRDefault="00B356AA" w:rsidP="00880920">
      <w:pPr>
        <w:spacing w:after="0"/>
        <w:rPr>
          <w:sz w:val="20"/>
          <w:szCs w:val="20"/>
        </w:rPr>
      </w:pPr>
      <w:r w:rsidRPr="005F3A9B">
        <w:rPr>
          <w:rStyle w:val="Appelnotedebasdep"/>
          <w:sz w:val="20"/>
          <w:szCs w:val="20"/>
          <w:vertAlign w:val="superscript"/>
        </w:rPr>
        <w:footnoteRef/>
      </w:r>
      <w:r>
        <w:rPr>
          <w:i/>
          <w:iCs/>
          <w:sz w:val="20"/>
          <w:szCs w:val="20"/>
        </w:rPr>
        <w:t xml:space="preserve"> Canadian Bar Assn. </w:t>
      </w:r>
      <w:r>
        <w:rPr>
          <w:iCs/>
          <w:sz w:val="20"/>
          <w:szCs w:val="20"/>
        </w:rPr>
        <w:t xml:space="preserve">(CA), </w:t>
      </w:r>
      <w:r>
        <w:rPr>
          <w:i/>
          <w:iCs/>
          <w:sz w:val="20"/>
          <w:szCs w:val="20"/>
        </w:rPr>
        <w:t>i</w:t>
      </w:r>
      <w:r w:rsidRPr="0071714E">
        <w:rPr>
          <w:i/>
          <w:iCs/>
          <w:sz w:val="20"/>
          <w:szCs w:val="20"/>
        </w:rPr>
        <w:t>bid</w:t>
      </w:r>
      <w:r>
        <w:rPr>
          <w:iCs/>
          <w:sz w:val="20"/>
          <w:szCs w:val="20"/>
        </w:rPr>
        <w:t xml:space="preserve"> at para 35.</w:t>
      </w:r>
    </w:p>
  </w:footnote>
  <w:footnote w:id="194">
    <w:p w:rsidR="00B356AA" w:rsidRPr="005F3A9B" w:rsidRDefault="00B356AA" w:rsidP="00245B14">
      <w:pPr>
        <w:spacing w:after="0"/>
        <w:rPr>
          <w:sz w:val="20"/>
          <w:szCs w:val="20"/>
        </w:rPr>
      </w:pPr>
      <w:r w:rsidRPr="005F3A9B">
        <w:rPr>
          <w:rStyle w:val="Appelnotedebasdep"/>
          <w:sz w:val="20"/>
          <w:szCs w:val="20"/>
          <w:vertAlign w:val="superscript"/>
        </w:rPr>
        <w:footnoteRef/>
      </w:r>
      <w:r w:rsidRPr="006C4B1D">
        <w:rPr>
          <w:i/>
          <w:iCs/>
          <w:sz w:val="20"/>
          <w:szCs w:val="20"/>
        </w:rPr>
        <w:t>Boulter v Nova Scotia Power Assn. Inc</w:t>
      </w:r>
      <w:r>
        <w:rPr>
          <w:iCs/>
          <w:sz w:val="20"/>
          <w:szCs w:val="20"/>
        </w:rPr>
        <w:t>., [2009] NSJ No 65 (CA); leave to appeal refused [2009] SCCA no 172.</w:t>
      </w:r>
    </w:p>
  </w:footnote>
  <w:footnote w:id="195">
    <w:p w:rsidR="00B356AA" w:rsidRPr="005552B5" w:rsidRDefault="00B356AA" w:rsidP="00424CAE">
      <w:pPr>
        <w:spacing w:after="0"/>
        <w:rPr>
          <w:iCs/>
          <w:sz w:val="20"/>
          <w:szCs w:val="20"/>
        </w:rPr>
      </w:pPr>
      <w:r w:rsidRPr="005F3A9B">
        <w:rPr>
          <w:rStyle w:val="Appelnotedebasdep"/>
          <w:sz w:val="20"/>
          <w:szCs w:val="20"/>
          <w:vertAlign w:val="superscript"/>
        </w:rPr>
        <w:footnoteRef/>
      </w:r>
      <w:r>
        <w:rPr>
          <w:i/>
          <w:iCs/>
          <w:sz w:val="20"/>
          <w:szCs w:val="20"/>
        </w:rPr>
        <w:t xml:space="preserve"> </w:t>
      </w:r>
      <w:r>
        <w:rPr>
          <w:iCs/>
          <w:sz w:val="20"/>
          <w:szCs w:val="20"/>
        </w:rPr>
        <w:t>See generally Claire McNeil &amp; Vincent Calderhead, “</w:t>
      </w:r>
      <w:r w:rsidRPr="00424CAE">
        <w:rPr>
          <w:iCs/>
          <w:sz w:val="20"/>
          <w:szCs w:val="20"/>
        </w:rPr>
        <w:t>Acce</w:t>
      </w:r>
      <w:r>
        <w:rPr>
          <w:iCs/>
          <w:sz w:val="20"/>
          <w:szCs w:val="20"/>
        </w:rPr>
        <w:t xml:space="preserve">ss to Energy: How Form Overtook </w:t>
      </w:r>
      <w:r w:rsidRPr="00424CAE">
        <w:rPr>
          <w:iCs/>
          <w:sz w:val="20"/>
          <w:szCs w:val="20"/>
        </w:rPr>
        <w:t>Substance and Disem</w:t>
      </w:r>
      <w:r>
        <w:rPr>
          <w:iCs/>
          <w:sz w:val="20"/>
          <w:szCs w:val="20"/>
        </w:rPr>
        <w:t xml:space="preserve">powered the Poor in Nova Scotia” in Jackman &amp; Porter, </w:t>
      </w:r>
      <w:r w:rsidRPr="00424CAE">
        <w:rPr>
          <w:i/>
          <w:iCs/>
          <w:sz w:val="20"/>
          <w:szCs w:val="20"/>
        </w:rPr>
        <w:t>Advancing Social Rights</w:t>
      </w:r>
      <w:r>
        <w:rPr>
          <w:iCs/>
          <w:sz w:val="20"/>
          <w:szCs w:val="20"/>
        </w:rPr>
        <w:t xml:space="preserve">, </w:t>
      </w:r>
      <w:r w:rsidRPr="005D433E">
        <w:rPr>
          <w:i/>
          <w:iCs/>
          <w:sz w:val="20"/>
          <w:szCs w:val="20"/>
        </w:rPr>
        <w:t>supra</w:t>
      </w:r>
      <w:r>
        <w:rPr>
          <w:iCs/>
          <w:sz w:val="20"/>
          <w:szCs w:val="20"/>
        </w:rPr>
        <w:t xml:space="preserve"> note 71 </w:t>
      </w:r>
      <w:r w:rsidRPr="005552B5">
        <w:rPr>
          <w:iCs/>
          <w:sz w:val="20"/>
          <w:szCs w:val="20"/>
        </w:rPr>
        <w:t>253.</w:t>
      </w:r>
    </w:p>
  </w:footnote>
  <w:footnote w:id="196">
    <w:p w:rsidR="00B356AA" w:rsidRPr="0081137E" w:rsidRDefault="00B356AA" w:rsidP="00880920">
      <w:pPr>
        <w:spacing w:after="0"/>
        <w:rPr>
          <w:sz w:val="20"/>
          <w:szCs w:val="20"/>
          <w:lang w:val="fr-CA"/>
        </w:rPr>
      </w:pPr>
      <w:r w:rsidRPr="005F3A9B">
        <w:rPr>
          <w:rStyle w:val="Appelnotedebasdep"/>
          <w:sz w:val="20"/>
          <w:szCs w:val="20"/>
          <w:vertAlign w:val="superscript"/>
        </w:rPr>
        <w:footnoteRef/>
      </w:r>
      <w:r w:rsidRPr="0081137E">
        <w:rPr>
          <w:i/>
          <w:iCs/>
          <w:sz w:val="20"/>
          <w:szCs w:val="20"/>
          <w:lang w:val="fr-CA"/>
        </w:rPr>
        <w:t xml:space="preserve"> </w:t>
      </w:r>
      <w:r w:rsidRPr="005D433E">
        <w:rPr>
          <w:i/>
          <w:iCs/>
          <w:sz w:val="20"/>
          <w:szCs w:val="20"/>
          <w:lang w:val="fr-CA"/>
        </w:rPr>
        <w:t>Boulter</w:t>
      </w:r>
      <w:r>
        <w:rPr>
          <w:iCs/>
          <w:sz w:val="20"/>
          <w:szCs w:val="20"/>
          <w:lang w:val="fr-CA"/>
        </w:rPr>
        <w:t xml:space="preserve"> (CA), </w:t>
      </w:r>
      <w:r w:rsidRPr="005D433E">
        <w:rPr>
          <w:i/>
          <w:iCs/>
          <w:sz w:val="20"/>
          <w:szCs w:val="20"/>
          <w:lang w:val="fr-CA"/>
        </w:rPr>
        <w:t>supra</w:t>
      </w:r>
      <w:r>
        <w:rPr>
          <w:iCs/>
          <w:sz w:val="20"/>
          <w:szCs w:val="20"/>
          <w:lang w:val="fr-CA"/>
        </w:rPr>
        <w:t xml:space="preserve"> note 194 at para 43.</w:t>
      </w:r>
    </w:p>
  </w:footnote>
  <w:footnote w:id="197">
    <w:p w:rsidR="00B356AA" w:rsidRPr="00927481" w:rsidRDefault="00B356AA" w:rsidP="00925E6F">
      <w:pPr>
        <w:spacing w:after="0"/>
        <w:rPr>
          <w:sz w:val="20"/>
          <w:szCs w:val="20"/>
        </w:rPr>
      </w:pPr>
      <w:r w:rsidRPr="005F3A9B">
        <w:rPr>
          <w:rStyle w:val="Appelnotedebasdep"/>
          <w:sz w:val="20"/>
          <w:szCs w:val="20"/>
          <w:vertAlign w:val="superscript"/>
        </w:rPr>
        <w:footnoteRef/>
      </w:r>
      <w:r w:rsidRPr="0081137E">
        <w:rPr>
          <w:i/>
          <w:iCs/>
          <w:sz w:val="20"/>
          <w:szCs w:val="20"/>
          <w:lang w:val="fr-CA"/>
        </w:rPr>
        <w:t xml:space="preserve"> Toussaint</w:t>
      </w:r>
      <w:r>
        <w:rPr>
          <w:iCs/>
          <w:sz w:val="20"/>
          <w:szCs w:val="20"/>
          <w:lang w:val="fr-CA"/>
        </w:rPr>
        <w:t xml:space="preserve"> (FCA), </w:t>
      </w:r>
      <w:r w:rsidRPr="001122E3">
        <w:rPr>
          <w:i/>
          <w:iCs/>
          <w:sz w:val="20"/>
          <w:szCs w:val="20"/>
          <w:lang w:val="fr-CA"/>
        </w:rPr>
        <w:t>supra</w:t>
      </w:r>
      <w:r>
        <w:rPr>
          <w:iCs/>
          <w:sz w:val="20"/>
          <w:szCs w:val="20"/>
          <w:lang w:val="fr-CA"/>
        </w:rPr>
        <w:t xml:space="preserve"> note 156, </w:t>
      </w:r>
      <w:r w:rsidRPr="001122E3">
        <w:rPr>
          <w:iCs/>
          <w:sz w:val="20"/>
          <w:szCs w:val="20"/>
          <w:lang w:val="fr-CA"/>
        </w:rPr>
        <w:t xml:space="preserve">aff’g </w:t>
      </w:r>
      <w:r w:rsidRPr="001122E3">
        <w:rPr>
          <w:i/>
          <w:iCs/>
          <w:sz w:val="20"/>
          <w:szCs w:val="20"/>
          <w:lang w:val="fr-CA"/>
        </w:rPr>
        <w:t>Toussaint v Canada</w:t>
      </w:r>
      <w:r w:rsidRPr="001122E3">
        <w:rPr>
          <w:iCs/>
          <w:sz w:val="20"/>
          <w:szCs w:val="20"/>
          <w:lang w:val="fr-CA"/>
        </w:rPr>
        <w:t xml:space="preserve"> 2010 FC 810 [Toussaint (FC)]</w:t>
      </w:r>
      <w:r>
        <w:rPr>
          <w:iCs/>
          <w:sz w:val="20"/>
          <w:szCs w:val="20"/>
          <w:lang w:val="fr-CA"/>
        </w:rPr>
        <w:t xml:space="preserve">.  </w:t>
      </w:r>
      <w:r w:rsidRPr="00927481">
        <w:rPr>
          <w:iCs/>
          <w:sz w:val="20"/>
          <w:szCs w:val="20"/>
        </w:rPr>
        <w:t xml:space="preserve">In </w:t>
      </w:r>
      <w:r w:rsidRPr="00927481">
        <w:rPr>
          <w:i/>
          <w:iCs/>
          <w:sz w:val="20"/>
          <w:szCs w:val="20"/>
        </w:rPr>
        <w:t xml:space="preserve">Toussaint </w:t>
      </w:r>
      <w:r>
        <w:rPr>
          <w:i/>
          <w:iCs/>
          <w:sz w:val="20"/>
          <w:szCs w:val="20"/>
        </w:rPr>
        <w:t>v Canada (Citizenship and Immigration)</w:t>
      </w:r>
      <w:r>
        <w:rPr>
          <w:iCs/>
          <w:sz w:val="20"/>
          <w:szCs w:val="20"/>
        </w:rPr>
        <w:t>,</w:t>
      </w:r>
      <w:r w:rsidRPr="00F56C5C">
        <w:t xml:space="preserve"> </w:t>
      </w:r>
      <w:r w:rsidRPr="00CA7BC8">
        <w:rPr>
          <w:iCs/>
          <w:sz w:val="20"/>
          <w:szCs w:val="20"/>
        </w:rPr>
        <w:t>2011 FCA 146</w:t>
      </w:r>
      <w:r>
        <w:rPr>
          <w:iCs/>
          <w:sz w:val="20"/>
          <w:szCs w:val="20"/>
        </w:rPr>
        <w:t xml:space="preserve">, aff’g </w:t>
      </w:r>
      <w:r w:rsidRPr="00927481">
        <w:rPr>
          <w:i/>
          <w:iCs/>
          <w:sz w:val="20"/>
          <w:szCs w:val="20"/>
        </w:rPr>
        <w:t xml:space="preserve">Toussaint </w:t>
      </w:r>
      <w:r>
        <w:rPr>
          <w:i/>
          <w:iCs/>
          <w:sz w:val="20"/>
          <w:szCs w:val="20"/>
        </w:rPr>
        <w:t>v Canada (Citizenship and Immigration)</w:t>
      </w:r>
      <w:r>
        <w:rPr>
          <w:iCs/>
          <w:sz w:val="20"/>
          <w:szCs w:val="20"/>
        </w:rPr>
        <w:t>,</w:t>
      </w:r>
      <w:r w:rsidRPr="00F56C5C">
        <w:t xml:space="preserve"> </w:t>
      </w:r>
      <w:r w:rsidRPr="00F56C5C">
        <w:rPr>
          <w:iCs/>
          <w:sz w:val="20"/>
          <w:szCs w:val="20"/>
        </w:rPr>
        <w:t>2009 FC 873</w:t>
      </w:r>
      <w:r>
        <w:rPr>
          <w:iCs/>
          <w:sz w:val="20"/>
          <w:szCs w:val="20"/>
        </w:rPr>
        <w:t>;</w:t>
      </w:r>
      <w:r w:rsidRPr="00F56C5C">
        <w:rPr>
          <w:i/>
          <w:iCs/>
          <w:sz w:val="20"/>
          <w:szCs w:val="20"/>
        </w:rPr>
        <w:t xml:space="preserve"> </w:t>
      </w:r>
      <w:r>
        <w:rPr>
          <w:iCs/>
          <w:sz w:val="20"/>
          <w:szCs w:val="20"/>
        </w:rPr>
        <w:t xml:space="preserve">the Court had earlier rejected Ms. Toussaint’s </w:t>
      </w:r>
      <w:r w:rsidRPr="00CA7BC8">
        <w:rPr>
          <w:i/>
          <w:iCs/>
          <w:sz w:val="20"/>
          <w:szCs w:val="20"/>
        </w:rPr>
        <w:t>Charter</w:t>
      </w:r>
      <w:r>
        <w:rPr>
          <w:iCs/>
          <w:sz w:val="20"/>
          <w:szCs w:val="20"/>
        </w:rPr>
        <w:t xml:space="preserve"> challenge to the failure of the </w:t>
      </w:r>
      <w:r w:rsidRPr="00F56C5C">
        <w:rPr>
          <w:i/>
          <w:iCs/>
          <w:sz w:val="20"/>
          <w:szCs w:val="20"/>
        </w:rPr>
        <w:t>Immigration and Refugee Protection Regulations</w:t>
      </w:r>
      <w:r w:rsidRPr="00F56C5C">
        <w:rPr>
          <w:iCs/>
          <w:sz w:val="20"/>
          <w:szCs w:val="20"/>
        </w:rPr>
        <w:t xml:space="preserve">, SOR/2002-227 </w:t>
      </w:r>
      <w:r>
        <w:rPr>
          <w:iCs/>
          <w:sz w:val="20"/>
          <w:szCs w:val="20"/>
        </w:rPr>
        <w:t xml:space="preserve">to allow for a waiver of the $550 </w:t>
      </w:r>
      <w:r w:rsidRPr="005D433E">
        <w:rPr>
          <w:iCs/>
          <w:sz w:val="20"/>
          <w:szCs w:val="20"/>
        </w:rPr>
        <w:t xml:space="preserve">processing </w:t>
      </w:r>
      <w:r>
        <w:rPr>
          <w:iCs/>
          <w:sz w:val="20"/>
          <w:szCs w:val="20"/>
        </w:rPr>
        <w:t xml:space="preserve">fee for </w:t>
      </w:r>
      <w:r w:rsidRPr="005D433E">
        <w:rPr>
          <w:iCs/>
          <w:sz w:val="20"/>
          <w:szCs w:val="20"/>
        </w:rPr>
        <w:t>application</w:t>
      </w:r>
      <w:r>
        <w:rPr>
          <w:iCs/>
          <w:sz w:val="20"/>
          <w:szCs w:val="20"/>
        </w:rPr>
        <w:t>s</w:t>
      </w:r>
      <w:r w:rsidRPr="005D433E">
        <w:rPr>
          <w:iCs/>
          <w:sz w:val="20"/>
          <w:szCs w:val="20"/>
        </w:rPr>
        <w:t xml:space="preserve"> for permanent residency </w:t>
      </w:r>
      <w:r>
        <w:rPr>
          <w:iCs/>
          <w:sz w:val="20"/>
          <w:szCs w:val="20"/>
        </w:rPr>
        <w:t xml:space="preserve">based on </w:t>
      </w:r>
      <w:r w:rsidRPr="005D433E">
        <w:rPr>
          <w:iCs/>
          <w:sz w:val="20"/>
          <w:szCs w:val="20"/>
        </w:rPr>
        <w:t xml:space="preserve">humanitarian and compassionate </w:t>
      </w:r>
      <w:r>
        <w:rPr>
          <w:iCs/>
          <w:sz w:val="20"/>
          <w:szCs w:val="20"/>
        </w:rPr>
        <w:t>considerations.</w:t>
      </w:r>
    </w:p>
  </w:footnote>
  <w:footnote w:id="198">
    <w:p w:rsidR="00B356AA" w:rsidRPr="00420754" w:rsidRDefault="00B356AA" w:rsidP="00927481">
      <w:pPr>
        <w:spacing w:after="0"/>
        <w:rPr>
          <w:iCs/>
          <w:sz w:val="20"/>
          <w:szCs w:val="20"/>
        </w:rPr>
      </w:pPr>
      <w:r w:rsidRPr="005F3A9B">
        <w:rPr>
          <w:rStyle w:val="Appelnotedebasdep"/>
          <w:sz w:val="20"/>
          <w:szCs w:val="20"/>
          <w:vertAlign w:val="superscript"/>
        </w:rPr>
        <w:footnoteRef/>
      </w:r>
      <w:r w:rsidRPr="00AD0DD1">
        <w:rPr>
          <w:i/>
          <w:iCs/>
          <w:sz w:val="20"/>
          <w:szCs w:val="20"/>
          <w:lang w:val="fr-CA"/>
        </w:rPr>
        <w:t xml:space="preserve"> Toussaint</w:t>
      </w:r>
      <w:r w:rsidRPr="00AD0DD1">
        <w:rPr>
          <w:iCs/>
          <w:sz w:val="20"/>
          <w:szCs w:val="20"/>
          <w:lang w:val="fr-CA"/>
        </w:rPr>
        <w:t xml:space="preserve"> (FCA), </w:t>
      </w:r>
      <w:r w:rsidRPr="00AD0DD1">
        <w:rPr>
          <w:i/>
          <w:iCs/>
          <w:sz w:val="20"/>
          <w:szCs w:val="20"/>
          <w:lang w:val="fr-CA"/>
        </w:rPr>
        <w:t xml:space="preserve">ibid </w:t>
      </w:r>
      <w:r w:rsidRPr="00AD0DD1">
        <w:rPr>
          <w:iCs/>
          <w:sz w:val="20"/>
          <w:szCs w:val="20"/>
          <w:lang w:val="fr-CA"/>
        </w:rPr>
        <w:t xml:space="preserve">at paras 72-73; </w:t>
      </w:r>
      <w:r w:rsidRPr="00AD0DD1">
        <w:rPr>
          <w:i/>
          <w:iCs/>
          <w:sz w:val="20"/>
          <w:szCs w:val="20"/>
          <w:lang w:val="fr-CA"/>
        </w:rPr>
        <w:t>Toussaint</w:t>
      </w:r>
      <w:r>
        <w:rPr>
          <w:iCs/>
          <w:sz w:val="20"/>
          <w:szCs w:val="20"/>
          <w:lang w:val="fr-CA"/>
        </w:rPr>
        <w:t xml:space="preserve"> (FC) at paras</w:t>
      </w:r>
      <w:r w:rsidRPr="00AD0DD1">
        <w:rPr>
          <w:iCs/>
          <w:sz w:val="20"/>
          <w:szCs w:val="20"/>
          <w:lang w:val="fr-CA"/>
        </w:rPr>
        <w:t xml:space="preserve"> </w:t>
      </w:r>
      <w:r w:rsidRPr="00976130">
        <w:rPr>
          <w:iCs/>
          <w:sz w:val="20"/>
          <w:szCs w:val="20"/>
          <w:lang w:val="fr-CA"/>
        </w:rPr>
        <w:t xml:space="preserve">91, 93.  </w:t>
      </w:r>
      <w:r>
        <w:rPr>
          <w:iCs/>
          <w:sz w:val="20"/>
          <w:szCs w:val="20"/>
        </w:rPr>
        <w:t xml:space="preserve">In its subsequent decision in </w:t>
      </w:r>
      <w:r w:rsidRPr="00420754">
        <w:rPr>
          <w:i/>
          <w:iCs/>
          <w:sz w:val="20"/>
          <w:szCs w:val="20"/>
        </w:rPr>
        <w:t>Canadian Doctors for Refugee Care v Canada, (AG)</w:t>
      </w:r>
      <w:r>
        <w:rPr>
          <w:iCs/>
          <w:sz w:val="20"/>
          <w:szCs w:val="20"/>
        </w:rPr>
        <w:t>,</w:t>
      </w:r>
      <w:r w:rsidRPr="00424CAE">
        <w:rPr>
          <w:iCs/>
          <w:sz w:val="20"/>
          <w:szCs w:val="20"/>
        </w:rPr>
        <w:t xml:space="preserve"> 2014 FC 651</w:t>
      </w:r>
      <w:r>
        <w:rPr>
          <w:iCs/>
          <w:sz w:val="20"/>
          <w:szCs w:val="20"/>
        </w:rPr>
        <w:t xml:space="preserve"> at para 571, the Federal Court ruled that revisions to the </w:t>
      </w:r>
      <w:r w:rsidRPr="00927481">
        <w:rPr>
          <w:iCs/>
          <w:sz w:val="20"/>
          <w:szCs w:val="20"/>
        </w:rPr>
        <w:t>Interim Federal Health Benefit Program</w:t>
      </w:r>
      <w:r>
        <w:rPr>
          <w:iCs/>
          <w:sz w:val="20"/>
          <w:szCs w:val="20"/>
        </w:rPr>
        <w:t xml:space="preserve"> to exclude certain categories of refugee claimants did not violate section 7 because </w:t>
      </w:r>
      <w:r w:rsidRPr="00420754">
        <w:rPr>
          <w:iCs/>
          <w:sz w:val="20"/>
          <w:szCs w:val="20"/>
        </w:rPr>
        <w:t xml:space="preserve">“the </w:t>
      </w:r>
      <w:r w:rsidRPr="00420754">
        <w:rPr>
          <w:i/>
          <w:iCs/>
          <w:sz w:val="20"/>
          <w:szCs w:val="20"/>
        </w:rPr>
        <w:t>Charter</w:t>
      </w:r>
      <w:r w:rsidRPr="00420754">
        <w:rPr>
          <w:iCs/>
          <w:sz w:val="20"/>
          <w:szCs w:val="20"/>
        </w:rPr>
        <w:t>’s guarantees of life, liberty and security o</w:t>
      </w:r>
      <w:r>
        <w:rPr>
          <w:iCs/>
          <w:sz w:val="20"/>
          <w:szCs w:val="20"/>
        </w:rPr>
        <w:t xml:space="preserve">f the person do not include the </w:t>
      </w:r>
      <w:r w:rsidRPr="00420754">
        <w:rPr>
          <w:iCs/>
          <w:sz w:val="20"/>
          <w:szCs w:val="20"/>
        </w:rPr>
        <w:t>positive right to state funding for health care.”</w:t>
      </w:r>
    </w:p>
  </w:footnote>
  <w:footnote w:id="199">
    <w:p w:rsidR="00B356AA" w:rsidRPr="005F3A9B" w:rsidRDefault="00B356AA" w:rsidP="00925E6F">
      <w:pPr>
        <w:spacing w:after="0"/>
        <w:rPr>
          <w:sz w:val="20"/>
          <w:szCs w:val="20"/>
        </w:rPr>
      </w:pPr>
      <w:r w:rsidRPr="005F3A9B">
        <w:rPr>
          <w:rStyle w:val="Appelnotedebasdep"/>
          <w:sz w:val="20"/>
          <w:szCs w:val="20"/>
          <w:vertAlign w:val="superscript"/>
        </w:rPr>
        <w:footnoteRef/>
      </w:r>
      <w:r>
        <w:rPr>
          <w:i/>
          <w:iCs/>
          <w:sz w:val="20"/>
          <w:szCs w:val="20"/>
        </w:rPr>
        <w:t xml:space="preserve"> </w:t>
      </w:r>
      <w:r w:rsidRPr="00CA7BC8">
        <w:rPr>
          <w:i/>
          <w:iCs/>
          <w:sz w:val="20"/>
          <w:szCs w:val="20"/>
        </w:rPr>
        <w:t>Toussaint</w:t>
      </w:r>
      <w:r>
        <w:rPr>
          <w:iCs/>
          <w:sz w:val="20"/>
          <w:szCs w:val="20"/>
        </w:rPr>
        <w:t xml:space="preserve"> (FCA), </w:t>
      </w:r>
      <w:r w:rsidRPr="005D433E">
        <w:rPr>
          <w:i/>
          <w:iCs/>
          <w:sz w:val="20"/>
          <w:szCs w:val="20"/>
        </w:rPr>
        <w:t>ibid</w:t>
      </w:r>
      <w:r>
        <w:rPr>
          <w:iCs/>
          <w:sz w:val="20"/>
          <w:szCs w:val="20"/>
        </w:rPr>
        <w:t xml:space="preserve"> at para 112; </w:t>
      </w:r>
      <w:r w:rsidRPr="00CA7BC8">
        <w:rPr>
          <w:i/>
          <w:iCs/>
          <w:sz w:val="20"/>
          <w:szCs w:val="20"/>
        </w:rPr>
        <w:t>Toussaint</w:t>
      </w:r>
      <w:r>
        <w:rPr>
          <w:iCs/>
          <w:sz w:val="20"/>
          <w:szCs w:val="20"/>
        </w:rPr>
        <w:t xml:space="preserve"> (FC), </w:t>
      </w:r>
      <w:r w:rsidRPr="00CA7BC8">
        <w:rPr>
          <w:i/>
          <w:iCs/>
          <w:sz w:val="20"/>
          <w:szCs w:val="20"/>
        </w:rPr>
        <w:t>ibid</w:t>
      </w:r>
      <w:r>
        <w:rPr>
          <w:iCs/>
          <w:sz w:val="20"/>
          <w:szCs w:val="20"/>
        </w:rPr>
        <w:t xml:space="preserve"> at para 94.  The UN Human Rights Committee recently ruled that Canada’s actions violated Ms. Toussaint’s right to life under article 6 and her right to equality under article 26 of the ICCPR and it ordered Canada to provide Ms. Toussaint “with adequate compensation for the harm she suffered” and “to take steps to prevent similar violations in the future, including reviewing its national legislation to ensure that irregular migrants have access to essential health care to prevent a reasonably foreseeable risk that can result in loss of life.”; UNHRC, Views adopted by the Committee under article 5(4) of the Optional Protocol, concerning communication No. 2348/2014 (7 August 2018) CCPR/C/123/D/2348/2014, online: </w:t>
      </w:r>
      <w:r w:rsidRPr="00557920">
        <w:rPr>
          <w:iCs/>
          <w:sz w:val="20"/>
          <w:szCs w:val="20"/>
        </w:rPr>
        <w:t>http://www.socialrights.ca/2018/Toussaint%20v%20Canada%202018.pdf</w:t>
      </w:r>
      <w:r>
        <w:rPr>
          <w:iCs/>
          <w:sz w:val="20"/>
          <w:szCs w:val="20"/>
        </w:rPr>
        <w:t>.</w:t>
      </w:r>
    </w:p>
  </w:footnote>
  <w:footnote w:id="20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[2005] 1 SCR 791 [</w:t>
      </w:r>
      <w:r w:rsidRPr="005F3A9B">
        <w:rPr>
          <w:i/>
          <w:iCs/>
          <w:sz w:val="20"/>
          <w:szCs w:val="20"/>
        </w:rPr>
        <w:t>Chaoulli</w:t>
      </w:r>
      <w:r w:rsidRPr="005F3A9B">
        <w:rPr>
          <w:iCs/>
          <w:sz w:val="20"/>
          <w:szCs w:val="20"/>
        </w:rPr>
        <w:t xml:space="preserve"> (SCC)], rev’g [2002] RJQ 1205 (CA) [</w:t>
      </w:r>
      <w:r w:rsidRPr="005F3A9B">
        <w:rPr>
          <w:i/>
          <w:iCs/>
          <w:sz w:val="20"/>
          <w:szCs w:val="20"/>
        </w:rPr>
        <w:t>Chaoulli</w:t>
      </w:r>
      <w:r w:rsidRPr="005F3A9B">
        <w:rPr>
          <w:iCs/>
          <w:sz w:val="20"/>
          <w:szCs w:val="20"/>
        </w:rPr>
        <w:t xml:space="preserve"> (CA)], aff’g [2000] RJQ 786 (SC) [</w:t>
      </w:r>
      <w:r w:rsidRPr="005F3A9B">
        <w:rPr>
          <w:i/>
          <w:iCs/>
          <w:sz w:val="20"/>
          <w:szCs w:val="20"/>
        </w:rPr>
        <w:t>Chaoulli</w:t>
      </w:r>
      <w:r w:rsidRPr="005F3A9B">
        <w:rPr>
          <w:iCs/>
          <w:sz w:val="20"/>
          <w:szCs w:val="20"/>
        </w:rPr>
        <w:t xml:space="preserve"> (SC)].</w:t>
      </w:r>
    </w:p>
  </w:footnote>
  <w:footnote w:id="201">
    <w:p w:rsidR="00B356AA" w:rsidRPr="005A4764" w:rsidRDefault="00B356AA" w:rsidP="00C12516">
      <w:pPr>
        <w:spacing w:after="0"/>
        <w:rPr>
          <w:sz w:val="20"/>
          <w:szCs w:val="20"/>
        </w:rPr>
      </w:pPr>
      <w:r w:rsidRPr="005F3A9B">
        <w:rPr>
          <w:rStyle w:val="Appelnotedebasdep"/>
          <w:sz w:val="20"/>
          <w:szCs w:val="20"/>
          <w:vertAlign w:val="superscript"/>
        </w:rPr>
        <w:footnoteRef/>
      </w:r>
      <w:r w:rsidRPr="005F3A9B">
        <w:rPr>
          <w:i/>
          <w:iCs/>
          <w:sz w:val="20"/>
          <w:szCs w:val="20"/>
        </w:rPr>
        <w:t>Chaoulli</w:t>
      </w:r>
      <w:r>
        <w:rPr>
          <w:iCs/>
          <w:sz w:val="20"/>
          <w:szCs w:val="20"/>
        </w:rPr>
        <w:t xml:space="preserve"> (SC), </w:t>
      </w:r>
      <w:r w:rsidRPr="00C00AFF">
        <w:rPr>
          <w:i/>
          <w:iCs/>
          <w:sz w:val="20"/>
          <w:szCs w:val="20"/>
        </w:rPr>
        <w:t>ibid</w:t>
      </w:r>
      <w:r>
        <w:rPr>
          <w:iCs/>
          <w:sz w:val="20"/>
          <w:szCs w:val="20"/>
        </w:rPr>
        <w:t xml:space="preserve"> at paras 19-43.  </w:t>
      </w:r>
      <w:r w:rsidRPr="005A4764">
        <w:rPr>
          <w:iCs/>
          <w:sz w:val="20"/>
          <w:szCs w:val="20"/>
          <w:lang w:val="fr-CA"/>
        </w:rPr>
        <w:t>After summarizing Dr. Chaoulli’</w:t>
      </w:r>
      <w:r>
        <w:rPr>
          <w:iCs/>
          <w:sz w:val="20"/>
          <w:szCs w:val="20"/>
          <w:lang w:val="fr-CA"/>
        </w:rPr>
        <w:t>s evidence at trial</w:t>
      </w:r>
      <w:r w:rsidRPr="005A4764">
        <w:rPr>
          <w:iCs/>
          <w:sz w:val="20"/>
          <w:szCs w:val="20"/>
          <w:lang w:val="fr-CA"/>
        </w:rPr>
        <w:t xml:space="preserve">, </w:t>
      </w:r>
      <w:r>
        <w:rPr>
          <w:iCs/>
          <w:sz w:val="20"/>
          <w:szCs w:val="20"/>
          <w:lang w:val="fr-CA"/>
        </w:rPr>
        <w:t xml:space="preserve">Justice Piché </w:t>
      </w:r>
      <w:r w:rsidRPr="005A4764">
        <w:rPr>
          <w:iCs/>
          <w:sz w:val="20"/>
          <w:szCs w:val="20"/>
          <w:lang w:val="fr-CA"/>
        </w:rPr>
        <w:t>observed</w:t>
      </w:r>
      <w:r>
        <w:rPr>
          <w:iCs/>
          <w:sz w:val="20"/>
          <w:szCs w:val="20"/>
          <w:lang w:val="fr-CA"/>
        </w:rPr>
        <w:t>, at para 43</w:t>
      </w:r>
      <w:r w:rsidRPr="005A4764">
        <w:rPr>
          <w:iCs/>
          <w:sz w:val="20"/>
          <w:szCs w:val="20"/>
          <w:lang w:val="fr-CA"/>
        </w:rPr>
        <w:t>: “Tout ceci amène le Tribunal à se poser des questions sur les véritables motivations du Dr Chaoulli dans le présent débat. On ne peut qu'être frappé par les contradictions dans le témoignage et l'impression que le Dr Chaoulli s'est embarqué</w:t>
      </w:r>
      <w:r>
        <w:rPr>
          <w:iCs/>
          <w:sz w:val="20"/>
          <w:szCs w:val="20"/>
          <w:lang w:val="fr-CA"/>
        </w:rPr>
        <w:t xml:space="preserve"> </w:t>
      </w:r>
      <w:r w:rsidRPr="005A4764">
        <w:rPr>
          <w:iCs/>
          <w:sz w:val="20"/>
          <w:szCs w:val="20"/>
          <w:lang w:val="fr-CA"/>
        </w:rPr>
        <w:t>dans une croisade dont les enjeux lui échappent aujourd'hui.</w:t>
      </w:r>
      <w:r w:rsidRPr="00BB219C">
        <w:rPr>
          <w:iCs/>
          <w:sz w:val="20"/>
          <w:szCs w:val="20"/>
          <w:lang w:val="fr-CA"/>
        </w:rPr>
        <w:t xml:space="preserve">” </w:t>
      </w:r>
      <w:r w:rsidRPr="005F3A9B">
        <w:rPr>
          <w:sz w:val="20"/>
          <w:szCs w:val="20"/>
        </w:rPr>
        <w:t>[author’s translation: “</w:t>
      </w:r>
      <w:r w:rsidRPr="005A4764">
        <w:rPr>
          <w:iCs/>
          <w:sz w:val="20"/>
          <w:szCs w:val="20"/>
        </w:rPr>
        <w:t xml:space="preserve">All of this brings the Court to </w:t>
      </w:r>
      <w:r>
        <w:rPr>
          <w:iCs/>
          <w:sz w:val="20"/>
          <w:szCs w:val="20"/>
        </w:rPr>
        <w:t xml:space="preserve">question what is really motivating </w:t>
      </w:r>
      <w:r w:rsidRPr="005A4764">
        <w:rPr>
          <w:iCs/>
          <w:sz w:val="20"/>
          <w:szCs w:val="20"/>
        </w:rPr>
        <w:t xml:space="preserve">Dr. </w:t>
      </w:r>
      <w:r>
        <w:rPr>
          <w:iCs/>
          <w:sz w:val="20"/>
          <w:szCs w:val="20"/>
        </w:rPr>
        <w:t>Chaoulli in the present debate.  One cannot help being struck by the contradictions in his testimony and the impression that Dr. Chaoulli has embarked on a crusade in which he now fails to grasp the stakes.”]</w:t>
      </w:r>
    </w:p>
  </w:footnote>
  <w:footnote w:id="202">
    <w:p w:rsidR="00B356AA" w:rsidRPr="00337455" w:rsidRDefault="00B356AA" w:rsidP="001B2373">
      <w:pPr>
        <w:spacing w:after="0"/>
        <w:rPr>
          <w:iCs/>
          <w:sz w:val="20"/>
          <w:szCs w:val="20"/>
          <w:lang w:val="fr-CA"/>
        </w:rPr>
      </w:pPr>
      <w:r w:rsidRPr="005F3A9B">
        <w:rPr>
          <w:rStyle w:val="Appelnotedebasdep"/>
          <w:sz w:val="20"/>
          <w:szCs w:val="20"/>
          <w:vertAlign w:val="superscript"/>
        </w:rPr>
        <w:footnoteRef/>
      </w:r>
      <w:r w:rsidRPr="00337455">
        <w:rPr>
          <w:iCs/>
          <w:sz w:val="20"/>
          <w:szCs w:val="20"/>
          <w:lang w:val="fr-CA"/>
        </w:rPr>
        <w:t xml:space="preserve"> See generally Marie-Claude Prémont,</w:t>
      </w:r>
      <w:r w:rsidRPr="00337455">
        <w:rPr>
          <w:lang w:val="fr-CA"/>
        </w:rPr>
        <w:t xml:space="preserve"> “</w:t>
      </w:r>
      <w:r w:rsidRPr="00337455">
        <w:rPr>
          <w:iCs/>
          <w:sz w:val="20"/>
          <w:szCs w:val="20"/>
          <w:lang w:val="fr-CA"/>
        </w:rPr>
        <w:t xml:space="preserve">L’affaire </w:t>
      </w:r>
      <w:r w:rsidRPr="00337455">
        <w:rPr>
          <w:i/>
          <w:iCs/>
          <w:sz w:val="20"/>
          <w:szCs w:val="20"/>
          <w:lang w:val="fr-CA"/>
        </w:rPr>
        <w:t>Chaoulli</w:t>
      </w:r>
      <w:r w:rsidRPr="00337455">
        <w:rPr>
          <w:iCs/>
          <w:sz w:val="20"/>
          <w:szCs w:val="20"/>
          <w:lang w:val="fr-CA"/>
        </w:rPr>
        <w:t xml:space="preserve"> et le système de santé du Québec: cherchez l’erreur, cherchez la raison” (2006) 51 McGill LJ 167.</w:t>
      </w:r>
    </w:p>
  </w:footnote>
  <w:footnote w:id="203">
    <w:p w:rsidR="00B356AA" w:rsidRPr="00627949" w:rsidRDefault="00B356AA" w:rsidP="005F3A9B">
      <w:pPr>
        <w:spacing w:after="0"/>
        <w:rPr>
          <w:sz w:val="20"/>
          <w:szCs w:val="20"/>
        </w:rPr>
      </w:pPr>
      <w:r w:rsidRPr="005F3A9B">
        <w:rPr>
          <w:rStyle w:val="Appelnotedebasdep"/>
          <w:sz w:val="20"/>
          <w:szCs w:val="20"/>
          <w:vertAlign w:val="superscript"/>
        </w:rPr>
        <w:footnoteRef/>
      </w:r>
      <w:r w:rsidRPr="00C00AFF">
        <w:rPr>
          <w:i/>
          <w:iCs/>
          <w:sz w:val="20"/>
          <w:szCs w:val="20"/>
          <w:lang w:val="fr-CA"/>
        </w:rPr>
        <w:t xml:space="preserve">Chaoulli </w:t>
      </w:r>
      <w:r w:rsidRPr="00C00AFF">
        <w:rPr>
          <w:iCs/>
          <w:sz w:val="20"/>
          <w:szCs w:val="20"/>
          <w:lang w:val="fr-CA"/>
        </w:rPr>
        <w:t xml:space="preserve">(SCC) </w:t>
      </w:r>
      <w:r w:rsidRPr="00C00AFF">
        <w:rPr>
          <w:i/>
          <w:iCs/>
          <w:sz w:val="20"/>
          <w:szCs w:val="20"/>
          <w:lang w:val="fr-CA"/>
        </w:rPr>
        <w:t>supra</w:t>
      </w:r>
      <w:r w:rsidRPr="00C00AFF">
        <w:rPr>
          <w:iCs/>
          <w:sz w:val="20"/>
          <w:szCs w:val="20"/>
          <w:lang w:val="fr-CA"/>
        </w:rPr>
        <w:t xml:space="preserve"> note </w:t>
      </w:r>
      <w:r>
        <w:rPr>
          <w:iCs/>
          <w:sz w:val="20"/>
          <w:szCs w:val="20"/>
          <w:lang w:val="fr-CA"/>
        </w:rPr>
        <w:t>200</w:t>
      </w:r>
      <w:r w:rsidRPr="00C00AFF">
        <w:rPr>
          <w:iCs/>
          <w:sz w:val="20"/>
          <w:szCs w:val="20"/>
          <w:lang w:val="fr-CA"/>
        </w:rPr>
        <w:t xml:space="preserve"> at para 159.  </w:t>
      </w:r>
      <w:r>
        <w:rPr>
          <w:iCs/>
          <w:sz w:val="20"/>
          <w:szCs w:val="20"/>
          <w:lang w:val="fr-CA"/>
        </w:rPr>
        <w:t xml:space="preserve">As </w:t>
      </w:r>
      <w:r w:rsidRPr="00BB219C">
        <w:rPr>
          <w:iCs/>
          <w:sz w:val="20"/>
          <w:szCs w:val="20"/>
          <w:lang w:val="fr-CA"/>
        </w:rPr>
        <w:t xml:space="preserve">Justice Piché </w:t>
      </w:r>
      <w:r>
        <w:rPr>
          <w:iCs/>
          <w:sz w:val="20"/>
          <w:szCs w:val="20"/>
          <w:lang w:val="fr-CA"/>
        </w:rPr>
        <w:t>affirmed at trial</w:t>
      </w:r>
      <w:r w:rsidRPr="00BB219C">
        <w:rPr>
          <w:iCs/>
          <w:sz w:val="20"/>
          <w:szCs w:val="20"/>
          <w:lang w:val="fr-CA"/>
        </w:rPr>
        <w:t xml:space="preserve">: “Il ne faut pas jouer à l’autruche.  L’établissement d’un système de santé parallèle privé aurait pour effet de menacer l’intégrité, le bon fonctionnement ainsi que la viabilité du système public.” </w:t>
      </w:r>
      <w:r w:rsidRPr="005F3A9B">
        <w:rPr>
          <w:sz w:val="20"/>
          <w:szCs w:val="20"/>
        </w:rPr>
        <w:t xml:space="preserve">[author’s translation: </w:t>
      </w:r>
      <w:bookmarkStart w:id="17" w:name="_Hlk496642008"/>
      <w:r w:rsidRPr="005F3A9B">
        <w:rPr>
          <w:sz w:val="20"/>
          <w:szCs w:val="20"/>
        </w:rPr>
        <w:t>“</w:t>
      </w:r>
      <w:bookmarkEnd w:id="17"/>
      <w:r>
        <w:rPr>
          <w:sz w:val="20"/>
          <w:szCs w:val="20"/>
        </w:rPr>
        <w:t>We can’t stick our heads in the sand. The establishment of a parallel, private health care system would threaten the integrity, the effective operation and the existence of the public system</w:t>
      </w:r>
      <w:r w:rsidRPr="005F3A9B">
        <w:rPr>
          <w:sz w:val="20"/>
          <w:szCs w:val="20"/>
        </w:rPr>
        <w:t>.”]</w:t>
      </w:r>
      <w:r>
        <w:rPr>
          <w:sz w:val="20"/>
          <w:szCs w:val="20"/>
        </w:rPr>
        <w:t xml:space="preserve">; </w:t>
      </w:r>
      <w:r w:rsidRPr="00363FB3">
        <w:rPr>
          <w:i/>
          <w:iCs/>
          <w:sz w:val="20"/>
          <w:szCs w:val="20"/>
        </w:rPr>
        <w:t xml:space="preserve">Chaoulli </w:t>
      </w:r>
      <w:r w:rsidRPr="00363FB3">
        <w:rPr>
          <w:iCs/>
          <w:sz w:val="20"/>
          <w:szCs w:val="20"/>
        </w:rPr>
        <w:t xml:space="preserve">(SC) </w:t>
      </w:r>
      <w:r>
        <w:rPr>
          <w:i/>
          <w:iCs/>
          <w:sz w:val="20"/>
          <w:szCs w:val="20"/>
        </w:rPr>
        <w:t xml:space="preserve">ibid </w:t>
      </w:r>
      <w:r w:rsidRPr="00976130">
        <w:rPr>
          <w:iCs/>
          <w:sz w:val="20"/>
          <w:szCs w:val="20"/>
        </w:rPr>
        <w:t>at</w:t>
      </w:r>
      <w:r>
        <w:rPr>
          <w:iCs/>
          <w:sz w:val="20"/>
          <w:szCs w:val="20"/>
        </w:rPr>
        <w:t xml:space="preserve"> para 263</w:t>
      </w:r>
      <w:r>
        <w:rPr>
          <w:sz w:val="20"/>
          <w:szCs w:val="20"/>
        </w:rPr>
        <w:t>.</w:t>
      </w:r>
    </w:p>
  </w:footnote>
  <w:footnote w:id="204">
    <w:p w:rsidR="00B356AA" w:rsidRPr="005F3A9B" w:rsidRDefault="00B356AA" w:rsidP="005F3A9B">
      <w:pPr>
        <w:spacing w:after="0"/>
        <w:rPr>
          <w:sz w:val="20"/>
          <w:szCs w:val="20"/>
        </w:rPr>
      </w:pPr>
      <w:r w:rsidRPr="005F3A9B">
        <w:rPr>
          <w:rStyle w:val="Appelnotedebasdep"/>
          <w:sz w:val="20"/>
          <w:szCs w:val="20"/>
          <w:vertAlign w:val="superscript"/>
        </w:rPr>
        <w:footnoteRef/>
      </w:r>
      <w:r w:rsidRPr="00F9737A">
        <w:rPr>
          <w:i/>
          <w:iCs/>
          <w:sz w:val="20"/>
          <w:szCs w:val="20"/>
        </w:rPr>
        <w:t>Chaoulli</w:t>
      </w:r>
      <w:r w:rsidRPr="005F3A9B">
        <w:rPr>
          <w:iCs/>
          <w:sz w:val="20"/>
          <w:szCs w:val="20"/>
        </w:rPr>
        <w:t xml:space="preserve"> (SCC), </w:t>
      </w:r>
      <w:r>
        <w:rPr>
          <w:i/>
          <w:iCs/>
          <w:sz w:val="20"/>
          <w:szCs w:val="20"/>
        </w:rPr>
        <w:t>ibid</w:t>
      </w:r>
      <w:r w:rsidRPr="005F3A9B">
        <w:rPr>
          <w:iCs/>
          <w:sz w:val="20"/>
          <w:szCs w:val="20"/>
        </w:rPr>
        <w:t xml:space="preserve"> at </w:t>
      </w:r>
      <w:r>
        <w:rPr>
          <w:iCs/>
          <w:sz w:val="20"/>
          <w:szCs w:val="20"/>
        </w:rPr>
        <w:t xml:space="preserve">para </w:t>
      </w:r>
      <w:r w:rsidRPr="005F3A9B">
        <w:rPr>
          <w:iCs/>
          <w:sz w:val="20"/>
          <w:szCs w:val="20"/>
        </w:rPr>
        <w:t xml:space="preserve">35; see Kent Roach, </w:t>
      </w:r>
      <w:r>
        <w:rPr>
          <w:iCs/>
          <w:sz w:val="20"/>
          <w:szCs w:val="20"/>
        </w:rPr>
        <w:t xml:space="preserve">“The Courts and Medicare: Too Much or too Little Judicial Activism” </w:t>
      </w:r>
      <w:r w:rsidRPr="005F3A9B">
        <w:rPr>
          <w:iCs/>
          <w:sz w:val="20"/>
          <w:szCs w:val="20"/>
        </w:rPr>
        <w:t xml:space="preserve">in </w:t>
      </w:r>
      <w:r w:rsidRPr="00F9737A">
        <w:rPr>
          <w:iCs/>
          <w:sz w:val="20"/>
          <w:szCs w:val="20"/>
        </w:rPr>
        <w:t xml:space="preserve">Colleen M. Flood, Kent Roach &amp; Lorne Sossin, eds, </w:t>
      </w:r>
      <w:r w:rsidRPr="00F9737A">
        <w:rPr>
          <w:i/>
          <w:iCs/>
          <w:sz w:val="20"/>
          <w:szCs w:val="20"/>
        </w:rPr>
        <w:t xml:space="preserve">Access to Care, Access to Justice: The Legal Debate Over Private Health Insurance in Canada </w:t>
      </w:r>
      <w:r w:rsidRPr="00F9737A">
        <w:rPr>
          <w:iCs/>
          <w:sz w:val="20"/>
          <w:szCs w:val="20"/>
        </w:rPr>
        <w:t>(Toronto: University of Toronto Press, 2005) [Flood et al, Access to Care]</w:t>
      </w:r>
      <w:r>
        <w:rPr>
          <w:iCs/>
          <w:sz w:val="20"/>
          <w:szCs w:val="20"/>
        </w:rPr>
        <w:t xml:space="preserve"> </w:t>
      </w:r>
      <w:r w:rsidRPr="000C7E62">
        <w:rPr>
          <w:iCs/>
          <w:sz w:val="20"/>
          <w:szCs w:val="20"/>
        </w:rPr>
        <w:t>184</w:t>
      </w:r>
      <w:r w:rsidRPr="005F3A9B">
        <w:rPr>
          <w:iCs/>
          <w:sz w:val="20"/>
          <w:szCs w:val="20"/>
        </w:rPr>
        <w:t>.</w:t>
      </w:r>
    </w:p>
  </w:footnote>
  <w:footnote w:id="205">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I</w:t>
      </w:r>
      <w:r w:rsidRPr="005F3A9B">
        <w:rPr>
          <w:sz w:val="20"/>
          <w:szCs w:val="20"/>
        </w:rPr>
        <w:t xml:space="preserve">n the trial judge’s words: “le Dr Coffey fait cavalier seul avec son expertise et les conclusions auxquelles il arrive [Author’s translation: Dr. Coffey is a lone rider </w:t>
      </w:r>
      <w:r>
        <w:rPr>
          <w:sz w:val="20"/>
          <w:szCs w:val="20"/>
        </w:rPr>
        <w:t>in</w:t>
      </w:r>
      <w:r w:rsidRPr="005F3A9B">
        <w:rPr>
          <w:sz w:val="20"/>
          <w:szCs w:val="20"/>
        </w:rPr>
        <w:t xml:space="preserve"> his expertise and the conclusions</w:t>
      </w:r>
      <w:r>
        <w:rPr>
          <w:sz w:val="20"/>
          <w:szCs w:val="20"/>
        </w:rPr>
        <w:t xml:space="preserve"> he arrives at</w:t>
      </w:r>
      <w:r w:rsidRPr="005F3A9B">
        <w:rPr>
          <w:sz w:val="20"/>
          <w:szCs w:val="20"/>
        </w:rPr>
        <w:t xml:space="preserve">.”]; </w:t>
      </w:r>
      <w:r w:rsidRPr="005F3A9B">
        <w:rPr>
          <w:i/>
          <w:sz w:val="20"/>
          <w:szCs w:val="20"/>
        </w:rPr>
        <w:t>Chaoulli</w:t>
      </w:r>
      <w:r w:rsidRPr="005F3A9B">
        <w:rPr>
          <w:sz w:val="20"/>
          <w:szCs w:val="20"/>
        </w:rPr>
        <w:t xml:space="preserve"> (SC), </w:t>
      </w:r>
      <w:r w:rsidRPr="005F3A9B">
        <w:rPr>
          <w:i/>
          <w:sz w:val="20"/>
          <w:szCs w:val="20"/>
        </w:rPr>
        <w:t>supra</w:t>
      </w:r>
      <w:r>
        <w:rPr>
          <w:sz w:val="20"/>
          <w:szCs w:val="20"/>
        </w:rPr>
        <w:t xml:space="preserve"> note 200 at para 120.</w:t>
      </w:r>
    </w:p>
  </w:footnote>
  <w:footnote w:id="206">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Cs/>
          <w:sz w:val="20"/>
          <w:szCs w:val="20"/>
        </w:rPr>
        <w:t xml:space="preserve"> The evidence accepted by the trial judge proved the reverse: that eliminating the ban on private insurance would, by diverting resources away from the public and into the private system, result in increased wait times for publicly funded care; </w:t>
      </w:r>
      <w:r>
        <w:rPr>
          <w:i/>
          <w:iCs/>
          <w:sz w:val="20"/>
          <w:szCs w:val="20"/>
        </w:rPr>
        <w:t xml:space="preserve">ibid </w:t>
      </w:r>
      <w:r w:rsidRPr="00EC3C08">
        <w:rPr>
          <w:iCs/>
          <w:sz w:val="20"/>
          <w:szCs w:val="20"/>
        </w:rPr>
        <w:t>at</w:t>
      </w:r>
      <w:r>
        <w:rPr>
          <w:iCs/>
          <w:sz w:val="20"/>
          <w:szCs w:val="20"/>
        </w:rPr>
        <w:t xml:space="preserve"> paras 106-107</w:t>
      </w:r>
      <w:r w:rsidRPr="005F3A9B">
        <w:rPr>
          <w:iCs/>
          <w:sz w:val="20"/>
          <w:szCs w:val="20"/>
        </w:rPr>
        <w:t>.</w:t>
      </w:r>
    </w:p>
  </w:footnote>
  <w:footnote w:id="207">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Chaoulli</w:t>
      </w:r>
      <w:r w:rsidRPr="005F3A9B">
        <w:rPr>
          <w:iCs/>
          <w:sz w:val="20"/>
          <w:szCs w:val="20"/>
        </w:rPr>
        <w:t xml:space="preserve"> (CA), </w:t>
      </w:r>
      <w:r w:rsidRPr="005F3A9B">
        <w:rPr>
          <w:i/>
          <w:iCs/>
          <w:sz w:val="20"/>
          <w:szCs w:val="20"/>
        </w:rPr>
        <w:t>supra</w:t>
      </w:r>
      <w:r w:rsidRPr="005F3A9B">
        <w:rPr>
          <w:iCs/>
          <w:sz w:val="20"/>
          <w:szCs w:val="20"/>
        </w:rPr>
        <w:t xml:space="preserve"> note</w:t>
      </w:r>
      <w:r>
        <w:rPr>
          <w:iCs/>
          <w:sz w:val="20"/>
          <w:szCs w:val="20"/>
        </w:rPr>
        <w:t xml:space="preserve"> 200</w:t>
      </w:r>
      <w:r w:rsidRPr="005F3A9B">
        <w:rPr>
          <w:iCs/>
          <w:sz w:val="20"/>
          <w:szCs w:val="20"/>
        </w:rPr>
        <w:t xml:space="preserve"> at 1211.</w:t>
      </w:r>
    </w:p>
  </w:footnote>
  <w:footnote w:id="208">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Chaoulli</w:t>
      </w:r>
      <w:r w:rsidRPr="005F3A9B">
        <w:rPr>
          <w:iCs/>
          <w:sz w:val="20"/>
          <w:szCs w:val="20"/>
        </w:rPr>
        <w:t xml:space="preserve"> (SCC), </w:t>
      </w:r>
      <w:r w:rsidRPr="005F3A9B">
        <w:rPr>
          <w:i/>
          <w:iCs/>
          <w:sz w:val="20"/>
          <w:szCs w:val="20"/>
        </w:rPr>
        <w:t>supra</w:t>
      </w:r>
      <w:r w:rsidRPr="005F3A9B">
        <w:rPr>
          <w:iCs/>
          <w:sz w:val="20"/>
          <w:szCs w:val="20"/>
        </w:rPr>
        <w:t xml:space="preserve"> note </w:t>
      </w:r>
      <w:r>
        <w:rPr>
          <w:iCs/>
          <w:sz w:val="20"/>
          <w:szCs w:val="20"/>
        </w:rPr>
        <w:t>200 at paras 14, 34.</w:t>
      </w:r>
    </w:p>
  </w:footnote>
  <w:footnote w:id="209">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Pr>
          <w:iCs/>
          <w:sz w:val="20"/>
          <w:szCs w:val="20"/>
        </w:rPr>
        <w:t xml:space="preserve"> at paras</w:t>
      </w:r>
      <w:r w:rsidRPr="005F3A9B">
        <w:rPr>
          <w:iCs/>
          <w:sz w:val="20"/>
          <w:szCs w:val="20"/>
        </w:rPr>
        <w:t xml:space="preserve"> 103; 108, 110.</w:t>
      </w:r>
    </w:p>
  </w:footnote>
  <w:footnote w:id="210">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107.</w:t>
      </w:r>
    </w:p>
  </w:footnote>
  <w:footnote w:id="211">
    <w:p w:rsidR="00B356AA" w:rsidRPr="005F3A9B" w:rsidRDefault="00B356AA" w:rsidP="00D76AD0">
      <w:pPr>
        <w:spacing w:after="0"/>
        <w:rPr>
          <w:sz w:val="20"/>
          <w:szCs w:val="20"/>
        </w:rPr>
      </w:pPr>
      <w:r w:rsidRPr="005F3A9B">
        <w:rPr>
          <w:rStyle w:val="Appelnotedebasdep"/>
          <w:sz w:val="20"/>
          <w:szCs w:val="20"/>
          <w:vertAlign w:val="superscript"/>
        </w:rPr>
        <w:footnoteRef/>
      </w:r>
      <w:r w:rsidRPr="005F3A9B">
        <w:rPr>
          <w:i/>
          <w:iCs/>
          <w:sz w:val="20"/>
          <w:szCs w:val="20"/>
        </w:rPr>
        <w:t>Ibid</w:t>
      </w:r>
      <w:r w:rsidRPr="005F3A9B">
        <w:rPr>
          <w:iCs/>
          <w:sz w:val="20"/>
          <w:szCs w:val="20"/>
        </w:rPr>
        <w:t xml:space="preserve"> at </w:t>
      </w:r>
      <w:r>
        <w:rPr>
          <w:iCs/>
          <w:sz w:val="20"/>
          <w:szCs w:val="20"/>
        </w:rPr>
        <w:t xml:space="preserve">para </w:t>
      </w:r>
      <w:r w:rsidRPr="005F3A9B">
        <w:rPr>
          <w:iCs/>
          <w:sz w:val="20"/>
          <w:szCs w:val="20"/>
        </w:rPr>
        <w:t>152.</w:t>
      </w:r>
    </w:p>
  </w:footnote>
  <w:footnote w:id="212">
    <w:p w:rsidR="00B356AA" w:rsidRPr="005F3A9B" w:rsidRDefault="00B356AA" w:rsidP="006069DC">
      <w:pPr>
        <w:spacing w:after="0"/>
        <w:rPr>
          <w:sz w:val="20"/>
          <w:szCs w:val="20"/>
        </w:rPr>
      </w:pPr>
      <w:r w:rsidRPr="005F3A9B">
        <w:rPr>
          <w:rStyle w:val="Appelnotedebasdep"/>
          <w:sz w:val="20"/>
          <w:szCs w:val="20"/>
          <w:vertAlign w:val="superscript"/>
        </w:rPr>
        <w:footnoteRef/>
      </w:r>
      <w:r w:rsidRPr="005F3A9B">
        <w:rPr>
          <w:iCs/>
          <w:sz w:val="20"/>
          <w:szCs w:val="20"/>
        </w:rPr>
        <w:t xml:space="preserve">See generally: Bruce Porter, “A Right to Health Care in Canada – Only if You Can Pay for it” (2005) 6 ESR Review 8; Martha Jackman, “‘The Last Line of Defence for [Which?] Citizens’: Accountability, Equality and the Right to Health in </w:t>
      </w:r>
      <w:r w:rsidRPr="005F3A9B">
        <w:rPr>
          <w:i/>
          <w:iCs/>
          <w:sz w:val="20"/>
          <w:szCs w:val="20"/>
        </w:rPr>
        <w:t>Chaoulli</w:t>
      </w:r>
      <w:r w:rsidRPr="005F3A9B">
        <w:rPr>
          <w:iCs/>
          <w:sz w:val="20"/>
          <w:szCs w:val="20"/>
        </w:rPr>
        <w:t xml:space="preserve">” (2006) 44 Osgoode Hall LJ 349; </w:t>
      </w:r>
      <w:r>
        <w:rPr>
          <w:iCs/>
          <w:sz w:val="20"/>
          <w:szCs w:val="20"/>
        </w:rPr>
        <w:t xml:space="preserve">Lorne Sossin, “Towards a Two-Tier Constitution? The Poverty of Health Rights” in Flood et al, </w:t>
      </w:r>
      <w:r w:rsidRPr="00F40B3F">
        <w:rPr>
          <w:i/>
          <w:iCs/>
          <w:sz w:val="20"/>
          <w:szCs w:val="20"/>
        </w:rPr>
        <w:t>Access to Care</w:t>
      </w:r>
      <w:r>
        <w:rPr>
          <w:iCs/>
          <w:sz w:val="20"/>
          <w:szCs w:val="20"/>
        </w:rPr>
        <w:t xml:space="preserve">, </w:t>
      </w:r>
      <w:r w:rsidRPr="00F40B3F">
        <w:rPr>
          <w:i/>
          <w:iCs/>
          <w:sz w:val="20"/>
          <w:szCs w:val="20"/>
        </w:rPr>
        <w:t>supra</w:t>
      </w:r>
      <w:r>
        <w:rPr>
          <w:iCs/>
          <w:sz w:val="20"/>
          <w:szCs w:val="20"/>
        </w:rPr>
        <w:t xml:space="preserve"> note 204 161.</w:t>
      </w:r>
    </w:p>
  </w:footnote>
  <w:footnote w:id="213">
    <w:p w:rsidR="00B356AA" w:rsidRPr="001E558A" w:rsidRDefault="00B356AA" w:rsidP="001E558A">
      <w:pPr>
        <w:spacing w:after="0"/>
        <w:rPr>
          <w:iCs/>
          <w:sz w:val="20"/>
          <w:szCs w:val="20"/>
        </w:rPr>
      </w:pPr>
      <w:r w:rsidRPr="005F3A9B">
        <w:rPr>
          <w:rStyle w:val="Appelnotedebasdep"/>
          <w:sz w:val="20"/>
          <w:szCs w:val="20"/>
          <w:vertAlign w:val="superscript"/>
        </w:rPr>
        <w:footnoteRef/>
      </w:r>
      <w:r>
        <w:rPr>
          <w:iCs/>
          <w:sz w:val="20"/>
          <w:szCs w:val="20"/>
        </w:rPr>
        <w:t xml:space="preserve">The </w:t>
      </w:r>
      <w:r w:rsidRPr="00A67AF6">
        <w:rPr>
          <w:i/>
          <w:iCs/>
          <w:sz w:val="20"/>
          <w:szCs w:val="20"/>
        </w:rPr>
        <w:t>Chaoulli</w:t>
      </w:r>
      <w:r>
        <w:rPr>
          <w:iCs/>
          <w:sz w:val="20"/>
          <w:szCs w:val="20"/>
        </w:rPr>
        <w:t xml:space="preserve"> decision has prompted </w:t>
      </w:r>
      <w:r w:rsidRPr="00C55728">
        <w:rPr>
          <w:iCs/>
          <w:sz w:val="20"/>
          <w:szCs w:val="20"/>
        </w:rPr>
        <w:t xml:space="preserve">a </w:t>
      </w:r>
      <w:r>
        <w:rPr>
          <w:iCs/>
          <w:sz w:val="20"/>
          <w:szCs w:val="20"/>
        </w:rPr>
        <w:t xml:space="preserve">further </w:t>
      </w:r>
      <w:r w:rsidRPr="00C55728">
        <w:rPr>
          <w:iCs/>
          <w:sz w:val="20"/>
          <w:szCs w:val="20"/>
        </w:rPr>
        <w:t>section 7 challenge to the single payer system</w:t>
      </w:r>
      <w:r>
        <w:rPr>
          <w:iCs/>
          <w:sz w:val="20"/>
          <w:szCs w:val="20"/>
        </w:rPr>
        <w:t xml:space="preserve">, led by Dr. Brian Day in B.C. in </w:t>
      </w:r>
      <w:r w:rsidRPr="001E558A">
        <w:rPr>
          <w:i/>
          <w:iCs/>
          <w:sz w:val="20"/>
          <w:szCs w:val="20"/>
        </w:rPr>
        <w:t>Cambie Surgeries v British Columbia (Medical Services Commission)</w:t>
      </w:r>
      <w:r w:rsidRPr="001E558A">
        <w:rPr>
          <w:iCs/>
          <w:sz w:val="20"/>
          <w:szCs w:val="20"/>
        </w:rPr>
        <w:t>, Docket S090663 (Vancouver)</w:t>
      </w:r>
      <w:r>
        <w:rPr>
          <w:iCs/>
          <w:sz w:val="20"/>
          <w:szCs w:val="20"/>
        </w:rPr>
        <w:t xml:space="preserve">; see also BC Health Coalition, “Clinics Case Court Documents”, online: </w:t>
      </w:r>
      <w:hyperlink r:id="rId2" w:history="1">
        <w:r w:rsidRPr="00E037C8">
          <w:rPr>
            <w:rStyle w:val="Lienhypertexte"/>
            <w:iCs/>
            <w:sz w:val="20"/>
            <w:szCs w:val="20"/>
          </w:rPr>
          <w:t>http://www.bchealthcoalition.ca/what-you-can-do/save-medicare/court-documents</w:t>
        </w:r>
      </w:hyperlink>
      <w:r>
        <w:rPr>
          <w:iCs/>
          <w:sz w:val="20"/>
          <w:szCs w:val="20"/>
        </w:rPr>
        <w:t>; Martha Jackman, “</w:t>
      </w:r>
      <w:r w:rsidRPr="001E558A">
        <w:rPr>
          <w:iCs/>
          <w:sz w:val="20"/>
          <w:szCs w:val="20"/>
        </w:rPr>
        <w:t xml:space="preserve">From </w:t>
      </w:r>
      <w:r w:rsidRPr="001E558A">
        <w:rPr>
          <w:i/>
          <w:iCs/>
          <w:sz w:val="20"/>
          <w:szCs w:val="20"/>
        </w:rPr>
        <w:t>Chaoulli</w:t>
      </w:r>
      <w:r w:rsidRPr="001E558A">
        <w:rPr>
          <w:iCs/>
          <w:sz w:val="20"/>
          <w:szCs w:val="20"/>
        </w:rPr>
        <w:t xml:space="preserve"> to </w:t>
      </w:r>
      <w:r w:rsidRPr="001E558A">
        <w:rPr>
          <w:i/>
          <w:iCs/>
          <w:sz w:val="20"/>
          <w:szCs w:val="20"/>
        </w:rPr>
        <w:t>Cambie</w:t>
      </w:r>
      <w:r w:rsidRPr="001E558A">
        <w:rPr>
          <w:iCs/>
          <w:sz w:val="20"/>
          <w:szCs w:val="20"/>
        </w:rPr>
        <w:t xml:space="preserve">: </w:t>
      </w:r>
      <w:r w:rsidRPr="001E558A">
        <w:rPr>
          <w:i/>
          <w:iCs/>
          <w:sz w:val="20"/>
          <w:szCs w:val="20"/>
        </w:rPr>
        <w:t>Charter</w:t>
      </w:r>
      <w:r w:rsidRPr="001E558A">
        <w:rPr>
          <w:iCs/>
          <w:sz w:val="20"/>
          <w:szCs w:val="20"/>
        </w:rPr>
        <w:t xml:space="preserve"> Challenges to the</w:t>
      </w:r>
    </w:p>
    <w:p w:rsidR="00B356AA" w:rsidRPr="00606019" w:rsidRDefault="00B356AA" w:rsidP="001E558A">
      <w:pPr>
        <w:spacing w:after="0"/>
        <w:rPr>
          <w:iCs/>
          <w:sz w:val="20"/>
          <w:szCs w:val="20"/>
        </w:rPr>
      </w:pPr>
      <w:r w:rsidRPr="001E558A">
        <w:rPr>
          <w:iCs/>
          <w:sz w:val="20"/>
          <w:szCs w:val="20"/>
        </w:rPr>
        <w:t>Regulation of Private Health Funding and Care</w:t>
      </w:r>
      <w:r>
        <w:rPr>
          <w:iCs/>
          <w:sz w:val="20"/>
          <w:szCs w:val="20"/>
        </w:rPr>
        <w:t xml:space="preserve">” in Colleen M Flood &amp; Bryan Thomas, eds, </w:t>
      </w:r>
      <w:r w:rsidRPr="001E558A">
        <w:rPr>
          <w:i/>
          <w:iCs/>
          <w:sz w:val="20"/>
          <w:szCs w:val="20"/>
        </w:rPr>
        <w:t xml:space="preserve">Is Two-Tier </w:t>
      </w:r>
      <w:r>
        <w:rPr>
          <w:i/>
          <w:iCs/>
          <w:sz w:val="20"/>
          <w:szCs w:val="20"/>
        </w:rPr>
        <w:t xml:space="preserve">Health </w:t>
      </w:r>
      <w:r w:rsidRPr="001E558A">
        <w:rPr>
          <w:i/>
          <w:iCs/>
          <w:sz w:val="20"/>
          <w:szCs w:val="20"/>
        </w:rPr>
        <w:t>Care the Future</w:t>
      </w:r>
      <w:r>
        <w:rPr>
          <w:i/>
          <w:iCs/>
          <w:sz w:val="20"/>
          <w:szCs w:val="20"/>
        </w:rPr>
        <w:t>?</w:t>
      </w:r>
      <w:r>
        <w:rPr>
          <w:iCs/>
          <w:sz w:val="20"/>
          <w:szCs w:val="20"/>
        </w:rPr>
        <w:t xml:space="preserve"> (Ottawa: </w:t>
      </w:r>
      <w:r w:rsidRPr="001E558A">
        <w:rPr>
          <w:iCs/>
          <w:sz w:val="20"/>
          <w:szCs w:val="20"/>
        </w:rPr>
        <w:t>University of Ottawa Press, 2019</w:t>
      </w:r>
      <w:r>
        <w:rPr>
          <w:iCs/>
          <w:sz w:val="20"/>
          <w:szCs w:val="20"/>
        </w:rPr>
        <w:t>)</w:t>
      </w:r>
      <w:r w:rsidRPr="001E558A">
        <w:rPr>
          <w:iCs/>
          <w:sz w:val="20"/>
          <w:szCs w:val="20"/>
        </w:rPr>
        <w:t xml:space="preserve"> (</w:t>
      </w:r>
      <w:r>
        <w:rPr>
          <w:iCs/>
          <w:sz w:val="20"/>
          <w:szCs w:val="20"/>
        </w:rPr>
        <w:t>forthcoming).</w:t>
      </w:r>
    </w:p>
  </w:footnote>
  <w:footnote w:id="214">
    <w:p w:rsidR="00B356AA" w:rsidRPr="005F3A9B" w:rsidRDefault="00B356AA" w:rsidP="005F3A9B">
      <w:pPr>
        <w:spacing w:after="0"/>
        <w:rPr>
          <w:sz w:val="20"/>
          <w:szCs w:val="20"/>
        </w:rPr>
      </w:pPr>
      <w:r w:rsidRPr="005F3A9B">
        <w:rPr>
          <w:rStyle w:val="Appelnotedebasdep"/>
          <w:sz w:val="20"/>
          <w:szCs w:val="20"/>
          <w:vertAlign w:val="superscript"/>
        </w:rPr>
        <w:footnoteRef/>
      </w:r>
      <w:r w:rsidRPr="005F3A9B">
        <w:rPr>
          <w:i/>
          <w:iCs/>
          <w:sz w:val="20"/>
          <w:szCs w:val="20"/>
        </w:rPr>
        <w:t xml:space="preserve"> Tanudjaja </w:t>
      </w:r>
      <w:r w:rsidRPr="005F3A9B">
        <w:rPr>
          <w:iCs/>
          <w:sz w:val="20"/>
          <w:szCs w:val="20"/>
        </w:rPr>
        <w:t xml:space="preserve">(CA), </w:t>
      </w:r>
      <w:r>
        <w:rPr>
          <w:i/>
          <w:iCs/>
          <w:sz w:val="20"/>
          <w:szCs w:val="20"/>
        </w:rPr>
        <w:t xml:space="preserve">supra </w:t>
      </w:r>
      <w:r>
        <w:rPr>
          <w:iCs/>
          <w:sz w:val="20"/>
          <w:szCs w:val="20"/>
        </w:rPr>
        <w:t xml:space="preserve">note 158 </w:t>
      </w:r>
      <w:r w:rsidRPr="005F3A9B">
        <w:rPr>
          <w:iCs/>
          <w:sz w:val="20"/>
          <w:szCs w:val="20"/>
        </w:rPr>
        <w:t>(</w:t>
      </w:r>
      <w:r w:rsidRPr="005F3A9B">
        <w:rPr>
          <w:i/>
          <w:iCs/>
          <w:sz w:val="20"/>
          <w:szCs w:val="20"/>
        </w:rPr>
        <w:t xml:space="preserve">Factum of the Interveners: Charter Committee Coalition </w:t>
      </w:r>
      <w:r w:rsidRPr="005F3A9B">
        <w:rPr>
          <w:iCs/>
          <w:sz w:val="20"/>
          <w:szCs w:val="20"/>
        </w:rPr>
        <w:t>at paras 1, 6)</w:t>
      </w:r>
      <w:r w:rsidRPr="005F3A9B">
        <w:rPr>
          <w:sz w:val="20"/>
          <w:szCs w:val="20"/>
        </w:rPr>
        <w:t>.</w:t>
      </w:r>
    </w:p>
  </w:footnote>
  <w:footnote w:id="215">
    <w:p w:rsidR="00B356AA" w:rsidRPr="00AD2013" w:rsidRDefault="00B356AA" w:rsidP="00666138">
      <w:pPr>
        <w:spacing w:after="0"/>
        <w:rPr>
          <w:sz w:val="20"/>
          <w:szCs w:val="20"/>
        </w:rPr>
      </w:pPr>
      <w:r w:rsidRPr="005F3A9B">
        <w:rPr>
          <w:rStyle w:val="Appelnotedebasdep"/>
          <w:sz w:val="20"/>
          <w:szCs w:val="20"/>
          <w:vertAlign w:val="superscript"/>
        </w:rPr>
        <w:footnoteRef/>
      </w:r>
      <w:r>
        <w:rPr>
          <w:sz w:val="20"/>
          <w:szCs w:val="20"/>
        </w:rPr>
        <w:t xml:space="preserve"> 2009 BCCA 563 [</w:t>
      </w:r>
      <w:r w:rsidRPr="00790FB0">
        <w:rPr>
          <w:i/>
          <w:sz w:val="20"/>
          <w:szCs w:val="20"/>
        </w:rPr>
        <w:t>Adams</w:t>
      </w:r>
      <w:r>
        <w:rPr>
          <w:sz w:val="20"/>
          <w:szCs w:val="20"/>
        </w:rPr>
        <w:t xml:space="preserve"> (CA)]</w:t>
      </w:r>
      <w:r w:rsidRPr="00C601CB">
        <w:rPr>
          <w:sz w:val="20"/>
          <w:szCs w:val="20"/>
        </w:rPr>
        <w:t xml:space="preserve">, aff’g </w:t>
      </w:r>
      <w:r w:rsidRPr="00066565">
        <w:rPr>
          <w:i/>
          <w:sz w:val="20"/>
          <w:szCs w:val="20"/>
        </w:rPr>
        <w:t>Victoria (City) v Adams</w:t>
      </w:r>
      <w:r>
        <w:rPr>
          <w:sz w:val="20"/>
          <w:szCs w:val="20"/>
        </w:rPr>
        <w:t>, 2008 BCSC 1363 [</w:t>
      </w:r>
      <w:r w:rsidRPr="00790FB0">
        <w:rPr>
          <w:i/>
          <w:sz w:val="20"/>
          <w:szCs w:val="20"/>
        </w:rPr>
        <w:t>Adams</w:t>
      </w:r>
      <w:r>
        <w:rPr>
          <w:sz w:val="20"/>
          <w:szCs w:val="20"/>
        </w:rPr>
        <w:t xml:space="preserve"> (SC)]</w:t>
      </w:r>
      <w:r w:rsidRPr="00066565">
        <w:rPr>
          <w:sz w:val="20"/>
          <w:szCs w:val="20"/>
        </w:rPr>
        <w:t>.</w:t>
      </w:r>
    </w:p>
  </w:footnote>
  <w:footnote w:id="216">
    <w:p w:rsidR="00B356AA" w:rsidRPr="00AD2013" w:rsidRDefault="00B356AA" w:rsidP="00790FB0">
      <w:pPr>
        <w:spacing w:after="0"/>
        <w:rPr>
          <w:sz w:val="20"/>
          <w:szCs w:val="20"/>
        </w:rPr>
      </w:pPr>
      <w:r w:rsidRPr="005F3A9B">
        <w:rPr>
          <w:rStyle w:val="Appelnotedebasdep"/>
          <w:sz w:val="20"/>
          <w:szCs w:val="20"/>
          <w:vertAlign w:val="superscript"/>
        </w:rPr>
        <w:footnoteRef/>
      </w:r>
      <w:r>
        <w:rPr>
          <w:sz w:val="20"/>
          <w:szCs w:val="20"/>
        </w:rPr>
        <w:t xml:space="preserve"> </w:t>
      </w:r>
      <w:r w:rsidRPr="00790FB0">
        <w:rPr>
          <w:i/>
          <w:sz w:val="20"/>
          <w:szCs w:val="20"/>
        </w:rPr>
        <w:t>Adams</w:t>
      </w:r>
      <w:r>
        <w:rPr>
          <w:sz w:val="20"/>
          <w:szCs w:val="20"/>
        </w:rPr>
        <w:t xml:space="preserve"> (SC), </w:t>
      </w:r>
      <w:r>
        <w:rPr>
          <w:i/>
          <w:sz w:val="20"/>
          <w:szCs w:val="20"/>
        </w:rPr>
        <w:t xml:space="preserve">ibid </w:t>
      </w:r>
      <w:r w:rsidRPr="00976130">
        <w:rPr>
          <w:sz w:val="20"/>
          <w:szCs w:val="20"/>
        </w:rPr>
        <w:t>at</w:t>
      </w:r>
      <w:r>
        <w:rPr>
          <w:sz w:val="20"/>
          <w:szCs w:val="20"/>
        </w:rPr>
        <w:t xml:space="preserve"> para 70</w:t>
      </w:r>
      <w:r w:rsidRPr="00066565">
        <w:rPr>
          <w:sz w:val="20"/>
          <w:szCs w:val="20"/>
        </w:rPr>
        <w:t>.</w:t>
      </w:r>
    </w:p>
  </w:footnote>
  <w:footnote w:id="217">
    <w:p w:rsidR="00B356AA" w:rsidRPr="00AD2013" w:rsidRDefault="00B356AA" w:rsidP="00790FB0">
      <w:pPr>
        <w:spacing w:after="0"/>
        <w:rPr>
          <w:sz w:val="20"/>
          <w:szCs w:val="20"/>
        </w:rPr>
      </w:pPr>
      <w:r w:rsidRPr="005F3A9B">
        <w:rPr>
          <w:rStyle w:val="Appelnotedebasdep"/>
          <w:sz w:val="20"/>
          <w:szCs w:val="20"/>
          <w:vertAlign w:val="superscript"/>
        </w:rPr>
        <w:footnoteRef/>
      </w:r>
      <w:r>
        <w:rPr>
          <w:sz w:val="20"/>
          <w:szCs w:val="20"/>
        </w:rPr>
        <w:t xml:space="preserve"> </w:t>
      </w:r>
      <w:r>
        <w:rPr>
          <w:i/>
          <w:sz w:val="20"/>
          <w:szCs w:val="20"/>
        </w:rPr>
        <w:t xml:space="preserve">Ibid </w:t>
      </w:r>
      <w:r w:rsidRPr="00666138">
        <w:rPr>
          <w:sz w:val="20"/>
          <w:szCs w:val="20"/>
        </w:rPr>
        <w:t>at</w:t>
      </w:r>
      <w:r>
        <w:rPr>
          <w:sz w:val="20"/>
          <w:szCs w:val="20"/>
        </w:rPr>
        <w:t xml:space="preserve"> para 58</w:t>
      </w:r>
      <w:r w:rsidRPr="00066565">
        <w:rPr>
          <w:sz w:val="20"/>
          <w:szCs w:val="20"/>
        </w:rPr>
        <w:t>.</w:t>
      </w:r>
    </w:p>
  </w:footnote>
  <w:footnote w:id="218">
    <w:p w:rsidR="00B356AA" w:rsidRPr="00AD2013" w:rsidRDefault="00B356AA" w:rsidP="005B1C32">
      <w:pPr>
        <w:spacing w:after="0"/>
        <w:rPr>
          <w:sz w:val="20"/>
          <w:szCs w:val="20"/>
        </w:rPr>
      </w:pPr>
      <w:r w:rsidRPr="005F3A9B">
        <w:rPr>
          <w:rStyle w:val="Appelnotedebasdep"/>
          <w:sz w:val="20"/>
          <w:szCs w:val="20"/>
          <w:vertAlign w:val="superscript"/>
        </w:rPr>
        <w:footnoteRef/>
      </w:r>
      <w:r>
        <w:rPr>
          <w:sz w:val="20"/>
          <w:szCs w:val="20"/>
        </w:rPr>
        <w:t xml:space="preserve"> </w:t>
      </w:r>
      <w:r>
        <w:rPr>
          <w:i/>
          <w:sz w:val="20"/>
          <w:szCs w:val="20"/>
        </w:rPr>
        <w:t xml:space="preserve">Ibid </w:t>
      </w:r>
      <w:r w:rsidRPr="00666138">
        <w:rPr>
          <w:sz w:val="20"/>
          <w:szCs w:val="20"/>
        </w:rPr>
        <w:t>at</w:t>
      </w:r>
      <w:r>
        <w:rPr>
          <w:sz w:val="20"/>
          <w:szCs w:val="20"/>
        </w:rPr>
        <w:t xml:space="preserve"> paras 119-120</w:t>
      </w:r>
      <w:r w:rsidRPr="00066565">
        <w:rPr>
          <w:sz w:val="20"/>
          <w:szCs w:val="20"/>
        </w:rPr>
        <w:t>.</w:t>
      </w:r>
    </w:p>
  </w:footnote>
  <w:footnote w:id="219">
    <w:p w:rsidR="00B356AA" w:rsidRPr="00AD2013" w:rsidRDefault="00B356AA" w:rsidP="00464A5D">
      <w:pPr>
        <w:spacing w:after="0"/>
        <w:rPr>
          <w:sz w:val="20"/>
          <w:szCs w:val="20"/>
        </w:rPr>
      </w:pPr>
      <w:r w:rsidRPr="005F3A9B">
        <w:rPr>
          <w:rStyle w:val="Appelnotedebasdep"/>
          <w:sz w:val="20"/>
          <w:szCs w:val="20"/>
          <w:vertAlign w:val="superscript"/>
        </w:rPr>
        <w:footnoteRef/>
      </w:r>
      <w:r>
        <w:rPr>
          <w:sz w:val="20"/>
          <w:szCs w:val="20"/>
        </w:rPr>
        <w:t xml:space="preserve"> </w:t>
      </w:r>
      <w:r w:rsidRPr="00066565">
        <w:rPr>
          <w:i/>
          <w:sz w:val="20"/>
          <w:szCs w:val="20"/>
        </w:rPr>
        <w:t>Adams</w:t>
      </w:r>
      <w:r>
        <w:rPr>
          <w:sz w:val="20"/>
          <w:szCs w:val="20"/>
        </w:rPr>
        <w:t xml:space="preserve"> (CA), </w:t>
      </w:r>
      <w:r w:rsidRPr="00790FB0">
        <w:rPr>
          <w:i/>
          <w:sz w:val="20"/>
          <w:szCs w:val="20"/>
        </w:rPr>
        <w:t>supra</w:t>
      </w:r>
      <w:r>
        <w:rPr>
          <w:sz w:val="20"/>
          <w:szCs w:val="20"/>
        </w:rPr>
        <w:t xml:space="preserve"> note 215 at para 95.  The B.C. </w:t>
      </w:r>
      <w:r w:rsidRPr="00790FB0">
        <w:rPr>
          <w:sz w:val="20"/>
          <w:szCs w:val="20"/>
        </w:rPr>
        <w:t xml:space="preserve">Supreme Court relied on </w:t>
      </w:r>
      <w:r w:rsidRPr="00790FB0">
        <w:rPr>
          <w:i/>
          <w:sz w:val="20"/>
          <w:szCs w:val="20"/>
        </w:rPr>
        <w:t>Adams</w:t>
      </w:r>
      <w:r w:rsidRPr="00790FB0">
        <w:rPr>
          <w:sz w:val="20"/>
          <w:szCs w:val="20"/>
        </w:rPr>
        <w:t xml:space="preserve"> in coming to</w:t>
      </w:r>
      <w:r>
        <w:rPr>
          <w:sz w:val="20"/>
          <w:szCs w:val="20"/>
        </w:rPr>
        <w:t xml:space="preserve"> </w:t>
      </w:r>
      <w:r w:rsidRPr="00790FB0">
        <w:rPr>
          <w:sz w:val="20"/>
          <w:szCs w:val="20"/>
        </w:rPr>
        <w:t>a similar finding that a</w:t>
      </w:r>
      <w:r>
        <w:rPr>
          <w:sz w:val="20"/>
          <w:szCs w:val="20"/>
        </w:rPr>
        <w:t>n Abbotsford</w:t>
      </w:r>
      <w:r w:rsidRPr="00790FB0">
        <w:rPr>
          <w:sz w:val="20"/>
          <w:szCs w:val="20"/>
        </w:rPr>
        <w:t xml:space="preserve"> bylaw prohibiting the erection of</w:t>
      </w:r>
      <w:r>
        <w:rPr>
          <w:sz w:val="20"/>
          <w:szCs w:val="20"/>
        </w:rPr>
        <w:t xml:space="preserve"> </w:t>
      </w:r>
      <w:r w:rsidRPr="00790FB0">
        <w:rPr>
          <w:sz w:val="20"/>
          <w:szCs w:val="20"/>
        </w:rPr>
        <w:t>temporary shelter or sleeping in par</w:t>
      </w:r>
      <w:r>
        <w:rPr>
          <w:sz w:val="20"/>
          <w:szCs w:val="20"/>
        </w:rPr>
        <w:t xml:space="preserve">ks overnight violated section 7, again underlining that the </w:t>
      </w:r>
      <w:r w:rsidRPr="00790FB0">
        <w:rPr>
          <w:sz w:val="20"/>
          <w:szCs w:val="20"/>
        </w:rPr>
        <w:t>claimants were “not seeking to impose any positive obligations on the City”</w:t>
      </w:r>
      <w:r>
        <w:rPr>
          <w:sz w:val="20"/>
          <w:szCs w:val="20"/>
        </w:rPr>
        <w:t xml:space="preserve">; </w:t>
      </w:r>
      <w:r w:rsidRPr="00066565">
        <w:rPr>
          <w:i/>
          <w:sz w:val="20"/>
          <w:szCs w:val="20"/>
        </w:rPr>
        <w:t>Abbotsford (City) v Shantz</w:t>
      </w:r>
      <w:r>
        <w:rPr>
          <w:sz w:val="20"/>
          <w:szCs w:val="20"/>
        </w:rPr>
        <w:t>,</w:t>
      </w:r>
      <w:r w:rsidRPr="00066565">
        <w:rPr>
          <w:sz w:val="20"/>
          <w:szCs w:val="20"/>
        </w:rPr>
        <w:t xml:space="preserve"> 2015 BCSC 1909</w:t>
      </w:r>
      <w:r>
        <w:rPr>
          <w:sz w:val="20"/>
          <w:szCs w:val="20"/>
        </w:rPr>
        <w:t xml:space="preserve"> at para 148; see generally </w:t>
      </w:r>
      <w:r w:rsidRPr="00464A5D">
        <w:rPr>
          <w:sz w:val="20"/>
          <w:szCs w:val="20"/>
        </w:rPr>
        <w:t>Margot Young, “Charter Eviction: Litigating out of House and Home” (2015) 24 Journal of Law &amp; Social Policy 46</w:t>
      </w:r>
      <w:r>
        <w:rPr>
          <w:sz w:val="20"/>
          <w:szCs w:val="20"/>
        </w:rPr>
        <w:t xml:space="preserve">; </w:t>
      </w:r>
      <w:r w:rsidRPr="00464A5D">
        <w:rPr>
          <w:sz w:val="20"/>
          <w:szCs w:val="20"/>
        </w:rPr>
        <w:t>Martha Jackman, “</w:t>
      </w:r>
      <w:r w:rsidRPr="00464A5D">
        <w:rPr>
          <w:i/>
          <w:sz w:val="20"/>
          <w:szCs w:val="20"/>
        </w:rPr>
        <w:t>Charter</w:t>
      </w:r>
      <w:r w:rsidRPr="00464A5D">
        <w:rPr>
          <w:sz w:val="20"/>
          <w:szCs w:val="20"/>
        </w:rPr>
        <w:t xml:space="preserve"> Remedies for Socio-economic Rights Violations: Sleeping under a Box?” in Robert J Sharpe and Kent Roach, eds, </w:t>
      </w:r>
      <w:r w:rsidRPr="002D3EA3">
        <w:rPr>
          <w:i/>
          <w:sz w:val="20"/>
          <w:szCs w:val="20"/>
        </w:rPr>
        <w:t>Taking Remedies Seriously</w:t>
      </w:r>
      <w:r w:rsidRPr="00464A5D">
        <w:rPr>
          <w:sz w:val="20"/>
          <w:szCs w:val="20"/>
        </w:rPr>
        <w:t xml:space="preserve"> (Ottawa: Canadian Institute for the Administration of Justice, 2010) 279</w:t>
      </w:r>
      <w:r>
        <w:rPr>
          <w:sz w:val="20"/>
          <w:szCs w:val="20"/>
        </w:rPr>
        <w:t xml:space="preserve"> [Jackman, “Sleeping under a Box?”]</w:t>
      </w:r>
      <w:r w:rsidRPr="00464A5D">
        <w:rPr>
          <w:sz w:val="20"/>
          <w:szCs w:val="20"/>
        </w:rPr>
        <w:t xml:space="preserve">; </w:t>
      </w:r>
      <w:r>
        <w:rPr>
          <w:sz w:val="20"/>
          <w:szCs w:val="20"/>
        </w:rPr>
        <w:t>Margot Young, “</w:t>
      </w:r>
      <w:r w:rsidRPr="00464A5D">
        <w:rPr>
          <w:sz w:val="20"/>
          <w:szCs w:val="20"/>
        </w:rPr>
        <w:t>Rights, t</w:t>
      </w:r>
      <w:r>
        <w:rPr>
          <w:sz w:val="20"/>
          <w:szCs w:val="20"/>
        </w:rPr>
        <w:t xml:space="preserve">he Homeless, and Social Change: </w:t>
      </w:r>
      <w:r w:rsidRPr="00464A5D">
        <w:rPr>
          <w:sz w:val="20"/>
          <w:szCs w:val="20"/>
        </w:rPr>
        <w:t>Reflections on</w:t>
      </w:r>
      <w:r>
        <w:rPr>
          <w:sz w:val="20"/>
          <w:szCs w:val="20"/>
        </w:rPr>
        <w:t xml:space="preserve"> </w:t>
      </w:r>
      <w:r w:rsidRPr="00464A5D">
        <w:rPr>
          <w:i/>
          <w:sz w:val="20"/>
          <w:szCs w:val="20"/>
        </w:rPr>
        <w:t>Victoria (City) v. Adams</w:t>
      </w:r>
      <w:r>
        <w:rPr>
          <w:sz w:val="20"/>
          <w:szCs w:val="20"/>
        </w:rPr>
        <w:t xml:space="preserve"> (BCSC)” (Winter 2009/10) 164 BC Studies 103.</w:t>
      </w:r>
    </w:p>
  </w:footnote>
  <w:footnote w:id="220">
    <w:p w:rsidR="00B356AA" w:rsidRPr="00AD2013" w:rsidRDefault="00B356AA" w:rsidP="00BA59EF">
      <w:pPr>
        <w:spacing w:after="0"/>
        <w:rPr>
          <w:sz w:val="20"/>
          <w:szCs w:val="20"/>
        </w:rPr>
      </w:pPr>
      <w:r w:rsidRPr="005F3A9B">
        <w:rPr>
          <w:rStyle w:val="Appelnotedebasdep"/>
          <w:sz w:val="20"/>
          <w:szCs w:val="20"/>
          <w:vertAlign w:val="superscript"/>
        </w:rPr>
        <w:footnoteRef/>
      </w:r>
      <w:bookmarkStart w:id="19" w:name="_Hlk496605371"/>
      <w:r>
        <w:rPr>
          <w:sz w:val="20"/>
          <w:szCs w:val="20"/>
        </w:rPr>
        <w:t>Porter, “</w:t>
      </w:r>
      <w:r w:rsidRPr="00F46062">
        <w:rPr>
          <w:sz w:val="20"/>
          <w:szCs w:val="20"/>
        </w:rPr>
        <w:t>Inclusive Interpretations</w:t>
      </w:r>
      <w:r>
        <w:rPr>
          <w:sz w:val="20"/>
          <w:szCs w:val="20"/>
        </w:rPr>
        <w:t>”</w:t>
      </w:r>
      <w:bookmarkEnd w:id="19"/>
      <w:r>
        <w:rPr>
          <w:sz w:val="20"/>
          <w:szCs w:val="20"/>
        </w:rPr>
        <w:t xml:space="preserve">, </w:t>
      </w:r>
      <w:r w:rsidRPr="005F6BD4">
        <w:rPr>
          <w:i/>
          <w:sz w:val="20"/>
          <w:szCs w:val="20"/>
        </w:rPr>
        <w:t>supra</w:t>
      </w:r>
      <w:r>
        <w:rPr>
          <w:sz w:val="20"/>
          <w:szCs w:val="20"/>
        </w:rPr>
        <w:t xml:space="preserve"> note 157 at 216-17</w:t>
      </w:r>
      <w:r w:rsidRPr="00F46062">
        <w:rPr>
          <w:sz w:val="20"/>
          <w:szCs w:val="20"/>
        </w:rPr>
        <w:t>.</w:t>
      </w:r>
    </w:p>
  </w:footnote>
  <w:footnote w:id="221">
    <w:p w:rsidR="00B356AA" w:rsidRPr="00AD2013" w:rsidRDefault="00B356AA" w:rsidP="00311F97">
      <w:pPr>
        <w:spacing w:after="0"/>
        <w:rPr>
          <w:sz w:val="20"/>
          <w:szCs w:val="20"/>
        </w:rPr>
      </w:pPr>
      <w:r w:rsidRPr="005F3A9B">
        <w:rPr>
          <w:rStyle w:val="Appelnotedebasdep"/>
          <w:sz w:val="20"/>
          <w:szCs w:val="20"/>
          <w:vertAlign w:val="superscript"/>
        </w:rPr>
        <w:footnoteRef/>
      </w:r>
      <w:r w:rsidRPr="00311F97">
        <w:rPr>
          <w:i/>
          <w:sz w:val="20"/>
          <w:szCs w:val="20"/>
        </w:rPr>
        <w:t>Supra</w:t>
      </w:r>
      <w:r>
        <w:rPr>
          <w:sz w:val="20"/>
          <w:szCs w:val="20"/>
        </w:rPr>
        <w:t xml:space="preserve"> notes 69-71.</w:t>
      </w:r>
    </w:p>
  </w:footnote>
  <w:footnote w:id="222">
    <w:p w:rsidR="00B356AA" w:rsidRPr="005F3A9B" w:rsidRDefault="00B356AA" w:rsidP="002A0BDA">
      <w:pPr>
        <w:spacing w:after="0"/>
        <w:rPr>
          <w:sz w:val="20"/>
          <w:szCs w:val="20"/>
        </w:rPr>
      </w:pPr>
      <w:r w:rsidRPr="005F3A9B">
        <w:rPr>
          <w:rStyle w:val="Appelnotedebasdep"/>
          <w:sz w:val="20"/>
          <w:szCs w:val="20"/>
          <w:vertAlign w:val="superscript"/>
        </w:rPr>
        <w:footnoteRef/>
      </w:r>
      <w:r w:rsidRPr="005F3A9B">
        <w:rPr>
          <w:i/>
          <w:iCs/>
          <w:sz w:val="20"/>
          <w:szCs w:val="20"/>
        </w:rPr>
        <w:t>Gosselin</w:t>
      </w:r>
      <w:r w:rsidRPr="005F3A9B">
        <w:rPr>
          <w:iCs/>
          <w:sz w:val="20"/>
          <w:szCs w:val="20"/>
        </w:rPr>
        <w:t xml:space="preserve"> (SCC), </w:t>
      </w:r>
      <w:r>
        <w:rPr>
          <w:i/>
          <w:iCs/>
          <w:sz w:val="20"/>
          <w:szCs w:val="20"/>
        </w:rPr>
        <w:t xml:space="preserve">supra </w:t>
      </w:r>
      <w:r>
        <w:rPr>
          <w:iCs/>
          <w:sz w:val="20"/>
          <w:szCs w:val="20"/>
        </w:rPr>
        <w:t xml:space="preserve">note 5 </w:t>
      </w:r>
      <w:r w:rsidRPr="00BE7298">
        <w:rPr>
          <w:iCs/>
          <w:sz w:val="20"/>
          <w:szCs w:val="20"/>
        </w:rPr>
        <w:t>at</w:t>
      </w:r>
      <w:r>
        <w:rPr>
          <w:iCs/>
          <w:sz w:val="20"/>
          <w:szCs w:val="20"/>
        </w:rPr>
        <w:t xml:space="preserve"> para 377</w:t>
      </w:r>
      <w:r w:rsidRPr="005F3A9B">
        <w:rPr>
          <w:iCs/>
          <w:sz w:val="20"/>
          <w:szCs w:val="20"/>
        </w:rPr>
        <w:t>.</w:t>
      </w:r>
    </w:p>
  </w:footnote>
  <w:footnote w:id="223">
    <w:p w:rsidR="005F7BCA" w:rsidRPr="005F3A9B" w:rsidRDefault="005F7BCA" w:rsidP="005F7BCA">
      <w:pPr>
        <w:spacing w:after="0"/>
        <w:rPr>
          <w:sz w:val="20"/>
          <w:szCs w:val="20"/>
        </w:rPr>
      </w:pPr>
      <w:r w:rsidRPr="005F3A9B">
        <w:rPr>
          <w:rStyle w:val="Appelnotedebasdep"/>
          <w:sz w:val="20"/>
          <w:szCs w:val="20"/>
          <w:vertAlign w:val="superscript"/>
        </w:rPr>
        <w:footnoteRef/>
      </w:r>
      <w:r w:rsidR="003923EA">
        <w:rPr>
          <w:i/>
          <w:iCs/>
          <w:sz w:val="20"/>
          <w:szCs w:val="20"/>
        </w:rPr>
        <w:t>Health Services Assn</w:t>
      </w:r>
      <w:r w:rsidRPr="005F3A9B">
        <w:rPr>
          <w:iCs/>
          <w:sz w:val="20"/>
          <w:szCs w:val="20"/>
        </w:rPr>
        <w:t xml:space="preserve">, </w:t>
      </w:r>
      <w:r>
        <w:rPr>
          <w:i/>
          <w:iCs/>
          <w:sz w:val="20"/>
          <w:szCs w:val="20"/>
        </w:rPr>
        <w:t xml:space="preserve">supra </w:t>
      </w:r>
      <w:r>
        <w:rPr>
          <w:iCs/>
          <w:sz w:val="20"/>
          <w:szCs w:val="20"/>
        </w:rPr>
        <w:t xml:space="preserve">note </w:t>
      </w:r>
      <w:r w:rsidR="003923EA">
        <w:rPr>
          <w:iCs/>
          <w:sz w:val="20"/>
          <w:szCs w:val="20"/>
        </w:rPr>
        <w:t xml:space="preserve">74 </w:t>
      </w:r>
      <w:r w:rsidRPr="00BE7298">
        <w:rPr>
          <w:iCs/>
          <w:sz w:val="20"/>
          <w:szCs w:val="20"/>
        </w:rPr>
        <w:t>at</w:t>
      </w:r>
      <w:r>
        <w:rPr>
          <w:iCs/>
          <w:sz w:val="20"/>
          <w:szCs w:val="20"/>
        </w:rPr>
        <w:t xml:space="preserve"> para </w:t>
      </w:r>
      <w:r w:rsidR="003923EA">
        <w:rPr>
          <w:iCs/>
          <w:sz w:val="20"/>
          <w:szCs w:val="20"/>
        </w:rPr>
        <w:t>78</w:t>
      </w:r>
      <w:r w:rsidRPr="005F3A9B">
        <w:rPr>
          <w:iCs/>
          <w:sz w:val="20"/>
          <w:szCs w:val="20"/>
        </w:rPr>
        <w:t>.</w:t>
      </w:r>
    </w:p>
  </w:footnote>
  <w:footnote w:id="224">
    <w:p w:rsidR="00B356AA" w:rsidRPr="00AD2013" w:rsidRDefault="00B356AA" w:rsidP="00197D02">
      <w:pPr>
        <w:spacing w:after="0"/>
        <w:rPr>
          <w:sz w:val="20"/>
          <w:szCs w:val="20"/>
        </w:rPr>
      </w:pPr>
      <w:r w:rsidRPr="005F3A9B">
        <w:rPr>
          <w:rStyle w:val="Appelnotedebasdep"/>
          <w:sz w:val="20"/>
          <w:szCs w:val="20"/>
          <w:vertAlign w:val="superscript"/>
        </w:rPr>
        <w:footnoteRef/>
      </w:r>
      <w:r>
        <w:rPr>
          <w:sz w:val="20"/>
          <w:szCs w:val="20"/>
        </w:rPr>
        <w:t xml:space="preserve">One in seven people in Canada live in poverty, including 25.3% of Indigenous people; 23% of people with disabilities; 34.2% of new immigrants and refugees; 32.4% of single parent families (80% of which are female-led) and 43.4% of children in those families; </w:t>
      </w:r>
      <w:r w:rsidRPr="003B3F1B">
        <w:rPr>
          <w:i/>
          <w:sz w:val="20"/>
          <w:szCs w:val="20"/>
        </w:rPr>
        <w:t>Poverty Trends 2017</w:t>
      </w:r>
      <w:r>
        <w:rPr>
          <w:sz w:val="20"/>
          <w:szCs w:val="20"/>
        </w:rPr>
        <w:t xml:space="preserve">, </w:t>
      </w:r>
      <w:r w:rsidRPr="003B3F1B">
        <w:rPr>
          <w:i/>
          <w:sz w:val="20"/>
          <w:szCs w:val="20"/>
        </w:rPr>
        <w:t>supra</w:t>
      </w:r>
      <w:r>
        <w:rPr>
          <w:sz w:val="20"/>
          <w:szCs w:val="20"/>
        </w:rPr>
        <w:t xml:space="preserve"> note 10 at 1-4.</w:t>
      </w:r>
    </w:p>
  </w:footnote>
  <w:footnote w:id="225">
    <w:p w:rsidR="00B356AA" w:rsidRPr="00197D02" w:rsidRDefault="00B356AA" w:rsidP="00066565">
      <w:pPr>
        <w:spacing w:after="0"/>
        <w:rPr>
          <w:iCs/>
          <w:sz w:val="20"/>
          <w:szCs w:val="20"/>
        </w:rPr>
      </w:pPr>
      <w:r w:rsidRPr="005F3A9B">
        <w:rPr>
          <w:rStyle w:val="Appelnotedebasdep"/>
          <w:sz w:val="20"/>
          <w:szCs w:val="20"/>
          <w:vertAlign w:val="superscript"/>
        </w:rPr>
        <w:footnoteRef/>
      </w:r>
      <w:r>
        <w:rPr>
          <w:iCs/>
          <w:sz w:val="20"/>
          <w:szCs w:val="20"/>
        </w:rPr>
        <w:t xml:space="preserve"> See Jackman, “Sleeping under a Box?” </w:t>
      </w:r>
      <w:r w:rsidRPr="00464A5D">
        <w:rPr>
          <w:i/>
          <w:iCs/>
          <w:sz w:val="20"/>
          <w:szCs w:val="20"/>
        </w:rPr>
        <w:t>supra</w:t>
      </w:r>
      <w:r>
        <w:rPr>
          <w:iCs/>
          <w:sz w:val="20"/>
          <w:szCs w:val="20"/>
        </w:rPr>
        <w:t xml:space="preserve"> note 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AA" w:rsidRDefault="007D4A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465" o:spid="_x0000_s409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AA" w:rsidRDefault="007D4A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466" o:spid="_x0000_s410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AA" w:rsidRDefault="007D4A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464" o:spid="_x0000_s4098"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197"/>
    <w:multiLevelType w:val="hybridMultilevel"/>
    <w:tmpl w:val="1338887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382439"/>
    <w:multiLevelType w:val="hybridMultilevel"/>
    <w:tmpl w:val="8C5885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7C328A"/>
    <w:multiLevelType w:val="hybridMultilevel"/>
    <w:tmpl w:val="FA94B75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8D07A8"/>
    <w:multiLevelType w:val="hybridMultilevel"/>
    <w:tmpl w:val="14DEFB2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C94635"/>
    <w:multiLevelType w:val="hybridMultilevel"/>
    <w:tmpl w:val="EEF489E8"/>
    <w:lvl w:ilvl="0" w:tplc="18443852">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6C47B7"/>
    <w:multiLevelType w:val="hybridMultilevel"/>
    <w:tmpl w:val="7B1AEF98"/>
    <w:lvl w:ilvl="0" w:tplc="10090015">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E93193C"/>
    <w:multiLevelType w:val="hybridMultilevel"/>
    <w:tmpl w:val="0F046DCE"/>
    <w:lvl w:ilvl="0" w:tplc="EB20D132">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01E24DE"/>
    <w:multiLevelType w:val="hybridMultilevel"/>
    <w:tmpl w:val="25208F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9D7AD1"/>
    <w:multiLevelType w:val="hybridMultilevel"/>
    <w:tmpl w:val="ECD68A6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6120D39"/>
    <w:multiLevelType w:val="hybridMultilevel"/>
    <w:tmpl w:val="721AA9C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5EA539D"/>
    <w:multiLevelType w:val="hybridMultilevel"/>
    <w:tmpl w:val="DCE87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8C646E"/>
    <w:multiLevelType w:val="hybridMultilevel"/>
    <w:tmpl w:val="4C62D8FA"/>
    <w:lvl w:ilvl="0" w:tplc="8DA8F55A">
      <w:start w:val="1"/>
      <w:numFmt w:val="upp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A793A30"/>
    <w:multiLevelType w:val="hybridMultilevel"/>
    <w:tmpl w:val="1FE4EE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BFD0022"/>
    <w:multiLevelType w:val="hybridMultilevel"/>
    <w:tmpl w:val="F25AE83E"/>
    <w:lvl w:ilvl="0" w:tplc="E7380D2E">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5C1EB1"/>
    <w:multiLevelType w:val="hybridMultilevel"/>
    <w:tmpl w:val="C382D854"/>
    <w:lvl w:ilvl="0" w:tplc="FA2E67AC">
      <w:start w:val="6"/>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2154596"/>
    <w:multiLevelType w:val="hybridMultilevel"/>
    <w:tmpl w:val="55504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DD0B0A"/>
    <w:multiLevelType w:val="hybridMultilevel"/>
    <w:tmpl w:val="004EF238"/>
    <w:lvl w:ilvl="0" w:tplc="23944BA8">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1EE26BA"/>
    <w:multiLevelType w:val="hybridMultilevel"/>
    <w:tmpl w:val="2404FAE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3B73760"/>
    <w:multiLevelType w:val="hybridMultilevel"/>
    <w:tmpl w:val="CE621848"/>
    <w:lvl w:ilvl="0" w:tplc="B87A9BA6">
      <w:start w:val="6"/>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6EE7FB9"/>
    <w:multiLevelType w:val="hybridMultilevel"/>
    <w:tmpl w:val="DB7261F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2F91BB7"/>
    <w:multiLevelType w:val="hybridMultilevel"/>
    <w:tmpl w:val="C92A00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4519C7"/>
    <w:multiLevelType w:val="hybridMultilevel"/>
    <w:tmpl w:val="0FDE3F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6"/>
  </w:num>
  <w:num w:numId="5">
    <w:abstractNumId w:val="7"/>
  </w:num>
  <w:num w:numId="6">
    <w:abstractNumId w:val="2"/>
  </w:num>
  <w:num w:numId="7">
    <w:abstractNumId w:val="8"/>
  </w:num>
  <w:num w:numId="8">
    <w:abstractNumId w:val="15"/>
  </w:num>
  <w:num w:numId="9">
    <w:abstractNumId w:val="20"/>
  </w:num>
  <w:num w:numId="10">
    <w:abstractNumId w:val="19"/>
  </w:num>
  <w:num w:numId="11">
    <w:abstractNumId w:val="16"/>
  </w:num>
  <w:num w:numId="12">
    <w:abstractNumId w:val="11"/>
  </w:num>
  <w:num w:numId="13">
    <w:abstractNumId w:val="21"/>
  </w:num>
  <w:num w:numId="14">
    <w:abstractNumId w:val="5"/>
  </w:num>
  <w:num w:numId="15">
    <w:abstractNumId w:val="0"/>
  </w:num>
  <w:num w:numId="16">
    <w:abstractNumId w:val="3"/>
  </w:num>
  <w:num w:numId="17">
    <w:abstractNumId w:val="17"/>
  </w:num>
  <w:num w:numId="18">
    <w:abstractNumId w:val="14"/>
  </w:num>
  <w:num w:numId="19">
    <w:abstractNumId w:val="1"/>
  </w:num>
  <w:num w:numId="20">
    <w:abstractNumId w:val="1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BB"/>
    <w:rsid w:val="00001018"/>
    <w:rsid w:val="00001126"/>
    <w:rsid w:val="000016A0"/>
    <w:rsid w:val="00002B1C"/>
    <w:rsid w:val="000038E1"/>
    <w:rsid w:val="00004A7F"/>
    <w:rsid w:val="00006C83"/>
    <w:rsid w:val="000107DA"/>
    <w:rsid w:val="00011626"/>
    <w:rsid w:val="00011772"/>
    <w:rsid w:val="00012AC6"/>
    <w:rsid w:val="000137CE"/>
    <w:rsid w:val="0001495C"/>
    <w:rsid w:val="00016A4C"/>
    <w:rsid w:val="000223D9"/>
    <w:rsid w:val="0002481C"/>
    <w:rsid w:val="0002492C"/>
    <w:rsid w:val="000262EC"/>
    <w:rsid w:val="00026F11"/>
    <w:rsid w:val="00026FE7"/>
    <w:rsid w:val="00027BBE"/>
    <w:rsid w:val="00031EC2"/>
    <w:rsid w:val="000340C0"/>
    <w:rsid w:val="00041328"/>
    <w:rsid w:val="00041664"/>
    <w:rsid w:val="00043EBF"/>
    <w:rsid w:val="00044193"/>
    <w:rsid w:val="00044640"/>
    <w:rsid w:val="0004675E"/>
    <w:rsid w:val="000523EF"/>
    <w:rsid w:val="00052786"/>
    <w:rsid w:val="000530F4"/>
    <w:rsid w:val="00053AC3"/>
    <w:rsid w:val="00056753"/>
    <w:rsid w:val="00057D42"/>
    <w:rsid w:val="00061A68"/>
    <w:rsid w:val="00062AA2"/>
    <w:rsid w:val="00062CE6"/>
    <w:rsid w:val="0006488D"/>
    <w:rsid w:val="00066565"/>
    <w:rsid w:val="00071FDF"/>
    <w:rsid w:val="00074A3E"/>
    <w:rsid w:val="00075085"/>
    <w:rsid w:val="00075983"/>
    <w:rsid w:val="00076B79"/>
    <w:rsid w:val="00077190"/>
    <w:rsid w:val="00082CA4"/>
    <w:rsid w:val="000842A9"/>
    <w:rsid w:val="0008471F"/>
    <w:rsid w:val="000850C9"/>
    <w:rsid w:val="000851FE"/>
    <w:rsid w:val="00085ABE"/>
    <w:rsid w:val="00087CE2"/>
    <w:rsid w:val="0009058B"/>
    <w:rsid w:val="000915DB"/>
    <w:rsid w:val="00091663"/>
    <w:rsid w:val="00091EFB"/>
    <w:rsid w:val="00094BDF"/>
    <w:rsid w:val="000952C1"/>
    <w:rsid w:val="00096B49"/>
    <w:rsid w:val="000A08C1"/>
    <w:rsid w:val="000A0D1A"/>
    <w:rsid w:val="000A2C92"/>
    <w:rsid w:val="000A3F54"/>
    <w:rsid w:val="000A4C18"/>
    <w:rsid w:val="000A63CC"/>
    <w:rsid w:val="000A69DE"/>
    <w:rsid w:val="000A6DE2"/>
    <w:rsid w:val="000B1B61"/>
    <w:rsid w:val="000B23D8"/>
    <w:rsid w:val="000B358C"/>
    <w:rsid w:val="000B7FEB"/>
    <w:rsid w:val="000C28AF"/>
    <w:rsid w:val="000C3420"/>
    <w:rsid w:val="000C40F6"/>
    <w:rsid w:val="000C49F1"/>
    <w:rsid w:val="000C7E62"/>
    <w:rsid w:val="000D06A1"/>
    <w:rsid w:val="000D1D70"/>
    <w:rsid w:val="000E04AD"/>
    <w:rsid w:val="000E0E31"/>
    <w:rsid w:val="000E28CE"/>
    <w:rsid w:val="000E2EF4"/>
    <w:rsid w:val="000E3164"/>
    <w:rsid w:val="000E3D94"/>
    <w:rsid w:val="000E4DBA"/>
    <w:rsid w:val="000E5C6F"/>
    <w:rsid w:val="000F1A6A"/>
    <w:rsid w:val="000F2CE6"/>
    <w:rsid w:val="000F3C9C"/>
    <w:rsid w:val="000F3DDD"/>
    <w:rsid w:val="000F466F"/>
    <w:rsid w:val="000F4A33"/>
    <w:rsid w:val="000F58A0"/>
    <w:rsid w:val="000F5A2C"/>
    <w:rsid w:val="000F5CCC"/>
    <w:rsid w:val="000F5FCD"/>
    <w:rsid w:val="000F674C"/>
    <w:rsid w:val="000F6CFE"/>
    <w:rsid w:val="000F76CD"/>
    <w:rsid w:val="000F78C8"/>
    <w:rsid w:val="000F79B1"/>
    <w:rsid w:val="00101C67"/>
    <w:rsid w:val="00102008"/>
    <w:rsid w:val="0010248C"/>
    <w:rsid w:val="00102CDB"/>
    <w:rsid w:val="00104B34"/>
    <w:rsid w:val="00110AB0"/>
    <w:rsid w:val="00110BA4"/>
    <w:rsid w:val="00111CE3"/>
    <w:rsid w:val="00111E04"/>
    <w:rsid w:val="001122E3"/>
    <w:rsid w:val="0011286A"/>
    <w:rsid w:val="00113C1F"/>
    <w:rsid w:val="001144B1"/>
    <w:rsid w:val="001146A3"/>
    <w:rsid w:val="001161BF"/>
    <w:rsid w:val="001205AE"/>
    <w:rsid w:val="001215BB"/>
    <w:rsid w:val="00121F93"/>
    <w:rsid w:val="001262CC"/>
    <w:rsid w:val="00126DF7"/>
    <w:rsid w:val="00127F96"/>
    <w:rsid w:val="0013635C"/>
    <w:rsid w:val="001367E6"/>
    <w:rsid w:val="00136EB9"/>
    <w:rsid w:val="00137275"/>
    <w:rsid w:val="00137332"/>
    <w:rsid w:val="001423F4"/>
    <w:rsid w:val="00142D80"/>
    <w:rsid w:val="00143FED"/>
    <w:rsid w:val="00144490"/>
    <w:rsid w:val="001457F1"/>
    <w:rsid w:val="00145806"/>
    <w:rsid w:val="00146DFB"/>
    <w:rsid w:val="00147A3C"/>
    <w:rsid w:val="00153D7B"/>
    <w:rsid w:val="00161512"/>
    <w:rsid w:val="00163A8C"/>
    <w:rsid w:val="00165ABF"/>
    <w:rsid w:val="001712B7"/>
    <w:rsid w:val="0017180A"/>
    <w:rsid w:val="00172059"/>
    <w:rsid w:val="0017531D"/>
    <w:rsid w:val="0017788D"/>
    <w:rsid w:val="00180817"/>
    <w:rsid w:val="0018220E"/>
    <w:rsid w:val="00184572"/>
    <w:rsid w:val="00185EE6"/>
    <w:rsid w:val="00186BE8"/>
    <w:rsid w:val="00187F94"/>
    <w:rsid w:val="00195AF0"/>
    <w:rsid w:val="001967D6"/>
    <w:rsid w:val="00197D02"/>
    <w:rsid w:val="001A2141"/>
    <w:rsid w:val="001A2597"/>
    <w:rsid w:val="001A25A2"/>
    <w:rsid w:val="001A3B24"/>
    <w:rsid w:val="001B036A"/>
    <w:rsid w:val="001B08EA"/>
    <w:rsid w:val="001B0995"/>
    <w:rsid w:val="001B10FA"/>
    <w:rsid w:val="001B1C0E"/>
    <w:rsid w:val="001B1D64"/>
    <w:rsid w:val="001B2373"/>
    <w:rsid w:val="001B28AD"/>
    <w:rsid w:val="001B36A1"/>
    <w:rsid w:val="001B4862"/>
    <w:rsid w:val="001B5E41"/>
    <w:rsid w:val="001C05B6"/>
    <w:rsid w:val="001C1C1D"/>
    <w:rsid w:val="001C3318"/>
    <w:rsid w:val="001C5687"/>
    <w:rsid w:val="001C6A12"/>
    <w:rsid w:val="001C7421"/>
    <w:rsid w:val="001D037D"/>
    <w:rsid w:val="001D1EE3"/>
    <w:rsid w:val="001D4AD3"/>
    <w:rsid w:val="001D5DBE"/>
    <w:rsid w:val="001D62BB"/>
    <w:rsid w:val="001D76C9"/>
    <w:rsid w:val="001D7AD3"/>
    <w:rsid w:val="001E16F5"/>
    <w:rsid w:val="001E210F"/>
    <w:rsid w:val="001E558A"/>
    <w:rsid w:val="001E6617"/>
    <w:rsid w:val="001E7CF5"/>
    <w:rsid w:val="001F2469"/>
    <w:rsid w:val="001F2797"/>
    <w:rsid w:val="001F3437"/>
    <w:rsid w:val="001F3702"/>
    <w:rsid w:val="001F58D0"/>
    <w:rsid w:val="00204432"/>
    <w:rsid w:val="002109D5"/>
    <w:rsid w:val="0021210B"/>
    <w:rsid w:val="00212583"/>
    <w:rsid w:val="002132DE"/>
    <w:rsid w:val="0021388A"/>
    <w:rsid w:val="00215729"/>
    <w:rsid w:val="00215F90"/>
    <w:rsid w:val="00216C3A"/>
    <w:rsid w:val="00220A3A"/>
    <w:rsid w:val="00220A77"/>
    <w:rsid w:val="002220B3"/>
    <w:rsid w:val="00222753"/>
    <w:rsid w:val="002246C4"/>
    <w:rsid w:val="002260B8"/>
    <w:rsid w:val="002266B9"/>
    <w:rsid w:val="00227AA3"/>
    <w:rsid w:val="00236C0F"/>
    <w:rsid w:val="00237E42"/>
    <w:rsid w:val="00240F6D"/>
    <w:rsid w:val="00243143"/>
    <w:rsid w:val="00244676"/>
    <w:rsid w:val="002450B4"/>
    <w:rsid w:val="00245B14"/>
    <w:rsid w:val="00246F6A"/>
    <w:rsid w:val="002474E2"/>
    <w:rsid w:val="00252E4C"/>
    <w:rsid w:val="0025317D"/>
    <w:rsid w:val="00254432"/>
    <w:rsid w:val="0025721D"/>
    <w:rsid w:val="00264397"/>
    <w:rsid w:val="002659FE"/>
    <w:rsid w:val="0027110F"/>
    <w:rsid w:val="00272222"/>
    <w:rsid w:val="00274311"/>
    <w:rsid w:val="002744BD"/>
    <w:rsid w:val="00274C03"/>
    <w:rsid w:val="00274D75"/>
    <w:rsid w:val="00276BE5"/>
    <w:rsid w:val="00281991"/>
    <w:rsid w:val="00282299"/>
    <w:rsid w:val="0028260E"/>
    <w:rsid w:val="0028328F"/>
    <w:rsid w:val="00284484"/>
    <w:rsid w:val="00284A96"/>
    <w:rsid w:val="0029104D"/>
    <w:rsid w:val="0029213B"/>
    <w:rsid w:val="00293780"/>
    <w:rsid w:val="00294BDD"/>
    <w:rsid w:val="002A0274"/>
    <w:rsid w:val="002A0BDA"/>
    <w:rsid w:val="002A2C46"/>
    <w:rsid w:val="002A6EBD"/>
    <w:rsid w:val="002B2C69"/>
    <w:rsid w:val="002B4179"/>
    <w:rsid w:val="002B6AB2"/>
    <w:rsid w:val="002B6C79"/>
    <w:rsid w:val="002B6F11"/>
    <w:rsid w:val="002B7550"/>
    <w:rsid w:val="002C04D6"/>
    <w:rsid w:val="002C0E87"/>
    <w:rsid w:val="002C2013"/>
    <w:rsid w:val="002C4203"/>
    <w:rsid w:val="002C5CEB"/>
    <w:rsid w:val="002C70D8"/>
    <w:rsid w:val="002C7585"/>
    <w:rsid w:val="002C7A5A"/>
    <w:rsid w:val="002C7C72"/>
    <w:rsid w:val="002C7E22"/>
    <w:rsid w:val="002D0D14"/>
    <w:rsid w:val="002D25A3"/>
    <w:rsid w:val="002D2A5F"/>
    <w:rsid w:val="002D379D"/>
    <w:rsid w:val="002D3BCD"/>
    <w:rsid w:val="002D3EA3"/>
    <w:rsid w:val="002D3EED"/>
    <w:rsid w:val="002D4E9C"/>
    <w:rsid w:val="002D7E25"/>
    <w:rsid w:val="002E03EF"/>
    <w:rsid w:val="002E14AE"/>
    <w:rsid w:val="002E22F4"/>
    <w:rsid w:val="002E2995"/>
    <w:rsid w:val="002E31A8"/>
    <w:rsid w:val="002E4031"/>
    <w:rsid w:val="002E4DEB"/>
    <w:rsid w:val="002E6992"/>
    <w:rsid w:val="002F2192"/>
    <w:rsid w:val="002F2FEC"/>
    <w:rsid w:val="002F348E"/>
    <w:rsid w:val="002F34F0"/>
    <w:rsid w:val="002F57B6"/>
    <w:rsid w:val="003008E4"/>
    <w:rsid w:val="00305559"/>
    <w:rsid w:val="00306D35"/>
    <w:rsid w:val="003074A1"/>
    <w:rsid w:val="00310667"/>
    <w:rsid w:val="00311959"/>
    <w:rsid w:val="00311F97"/>
    <w:rsid w:val="00313A41"/>
    <w:rsid w:val="00315496"/>
    <w:rsid w:val="00320F1F"/>
    <w:rsid w:val="0032253B"/>
    <w:rsid w:val="00322A0F"/>
    <w:rsid w:val="00322D22"/>
    <w:rsid w:val="00323417"/>
    <w:rsid w:val="003244C5"/>
    <w:rsid w:val="00331DCE"/>
    <w:rsid w:val="003336AD"/>
    <w:rsid w:val="00336A46"/>
    <w:rsid w:val="00337455"/>
    <w:rsid w:val="00340206"/>
    <w:rsid w:val="00344AA8"/>
    <w:rsid w:val="00345F3B"/>
    <w:rsid w:val="00346148"/>
    <w:rsid w:val="00346AEC"/>
    <w:rsid w:val="00347765"/>
    <w:rsid w:val="00353A39"/>
    <w:rsid w:val="00355496"/>
    <w:rsid w:val="00355E73"/>
    <w:rsid w:val="00357364"/>
    <w:rsid w:val="00357ABE"/>
    <w:rsid w:val="00360883"/>
    <w:rsid w:val="003610E9"/>
    <w:rsid w:val="0036117F"/>
    <w:rsid w:val="00363FB3"/>
    <w:rsid w:val="00364320"/>
    <w:rsid w:val="00365104"/>
    <w:rsid w:val="003656CE"/>
    <w:rsid w:val="003661A2"/>
    <w:rsid w:val="00370209"/>
    <w:rsid w:val="00370385"/>
    <w:rsid w:val="00373F81"/>
    <w:rsid w:val="00374FE2"/>
    <w:rsid w:val="00376279"/>
    <w:rsid w:val="00377414"/>
    <w:rsid w:val="0037757C"/>
    <w:rsid w:val="00383204"/>
    <w:rsid w:val="00384277"/>
    <w:rsid w:val="003846BC"/>
    <w:rsid w:val="0038758F"/>
    <w:rsid w:val="003907AE"/>
    <w:rsid w:val="00391A99"/>
    <w:rsid w:val="003923EA"/>
    <w:rsid w:val="003939B9"/>
    <w:rsid w:val="00394173"/>
    <w:rsid w:val="003947F6"/>
    <w:rsid w:val="003963A2"/>
    <w:rsid w:val="0039675A"/>
    <w:rsid w:val="0039712E"/>
    <w:rsid w:val="003A15D9"/>
    <w:rsid w:val="003A2097"/>
    <w:rsid w:val="003A2937"/>
    <w:rsid w:val="003A4C09"/>
    <w:rsid w:val="003A58AD"/>
    <w:rsid w:val="003A7442"/>
    <w:rsid w:val="003B00B0"/>
    <w:rsid w:val="003B08C5"/>
    <w:rsid w:val="003B15E6"/>
    <w:rsid w:val="003B2953"/>
    <w:rsid w:val="003B2D88"/>
    <w:rsid w:val="003B3F1B"/>
    <w:rsid w:val="003B4242"/>
    <w:rsid w:val="003B54C0"/>
    <w:rsid w:val="003B7BB1"/>
    <w:rsid w:val="003C1C35"/>
    <w:rsid w:val="003C4319"/>
    <w:rsid w:val="003C4347"/>
    <w:rsid w:val="003C46A7"/>
    <w:rsid w:val="003C4C74"/>
    <w:rsid w:val="003C7BB6"/>
    <w:rsid w:val="003D22A1"/>
    <w:rsid w:val="003D2B2B"/>
    <w:rsid w:val="003D4EBE"/>
    <w:rsid w:val="003D619E"/>
    <w:rsid w:val="003E04E3"/>
    <w:rsid w:val="003E3125"/>
    <w:rsid w:val="003E424A"/>
    <w:rsid w:val="003E64B0"/>
    <w:rsid w:val="003E6BDD"/>
    <w:rsid w:val="003E7A86"/>
    <w:rsid w:val="003F1B0B"/>
    <w:rsid w:val="003F3DA7"/>
    <w:rsid w:val="003F5A7F"/>
    <w:rsid w:val="003F5FA6"/>
    <w:rsid w:val="003F610D"/>
    <w:rsid w:val="004003A2"/>
    <w:rsid w:val="00400772"/>
    <w:rsid w:val="00400E76"/>
    <w:rsid w:val="004039AC"/>
    <w:rsid w:val="00403DC0"/>
    <w:rsid w:val="0040455A"/>
    <w:rsid w:val="00405BE9"/>
    <w:rsid w:val="0040689A"/>
    <w:rsid w:val="00406C92"/>
    <w:rsid w:val="00411A92"/>
    <w:rsid w:val="0041209A"/>
    <w:rsid w:val="004122ED"/>
    <w:rsid w:val="004139D7"/>
    <w:rsid w:val="004143AD"/>
    <w:rsid w:val="00416260"/>
    <w:rsid w:val="00416DF6"/>
    <w:rsid w:val="004170FD"/>
    <w:rsid w:val="00417415"/>
    <w:rsid w:val="004205B5"/>
    <w:rsid w:val="00420754"/>
    <w:rsid w:val="00421867"/>
    <w:rsid w:val="00422383"/>
    <w:rsid w:val="00423022"/>
    <w:rsid w:val="00423AC0"/>
    <w:rsid w:val="00424CAE"/>
    <w:rsid w:val="0043059D"/>
    <w:rsid w:val="00431809"/>
    <w:rsid w:val="00434A82"/>
    <w:rsid w:val="00435FEE"/>
    <w:rsid w:val="00443822"/>
    <w:rsid w:val="00444702"/>
    <w:rsid w:val="004455C1"/>
    <w:rsid w:val="00445E92"/>
    <w:rsid w:val="00445EFB"/>
    <w:rsid w:val="004530A6"/>
    <w:rsid w:val="00456DB4"/>
    <w:rsid w:val="004576FC"/>
    <w:rsid w:val="00461099"/>
    <w:rsid w:val="00462FE6"/>
    <w:rsid w:val="00463831"/>
    <w:rsid w:val="00463E2D"/>
    <w:rsid w:val="00463F92"/>
    <w:rsid w:val="00464A5D"/>
    <w:rsid w:val="00464B06"/>
    <w:rsid w:val="00466C1A"/>
    <w:rsid w:val="004671DC"/>
    <w:rsid w:val="004678B2"/>
    <w:rsid w:val="00467A3E"/>
    <w:rsid w:val="00467E9A"/>
    <w:rsid w:val="00475188"/>
    <w:rsid w:val="004760A1"/>
    <w:rsid w:val="00481953"/>
    <w:rsid w:val="0048240E"/>
    <w:rsid w:val="004827D5"/>
    <w:rsid w:val="00482853"/>
    <w:rsid w:val="00482AFA"/>
    <w:rsid w:val="00483D5B"/>
    <w:rsid w:val="0048439A"/>
    <w:rsid w:val="00484A0D"/>
    <w:rsid w:val="00484E26"/>
    <w:rsid w:val="00485896"/>
    <w:rsid w:val="00485D42"/>
    <w:rsid w:val="0048660A"/>
    <w:rsid w:val="0048734C"/>
    <w:rsid w:val="004876B8"/>
    <w:rsid w:val="004909B9"/>
    <w:rsid w:val="00493B2D"/>
    <w:rsid w:val="0049506C"/>
    <w:rsid w:val="0049695F"/>
    <w:rsid w:val="00497DEA"/>
    <w:rsid w:val="004A0D16"/>
    <w:rsid w:val="004A1E0B"/>
    <w:rsid w:val="004A26A2"/>
    <w:rsid w:val="004A3497"/>
    <w:rsid w:val="004A419C"/>
    <w:rsid w:val="004A4796"/>
    <w:rsid w:val="004A7F50"/>
    <w:rsid w:val="004B4249"/>
    <w:rsid w:val="004B5211"/>
    <w:rsid w:val="004B7E2C"/>
    <w:rsid w:val="004C06C0"/>
    <w:rsid w:val="004C178F"/>
    <w:rsid w:val="004C1B26"/>
    <w:rsid w:val="004C205A"/>
    <w:rsid w:val="004C2843"/>
    <w:rsid w:val="004C4AAA"/>
    <w:rsid w:val="004C728A"/>
    <w:rsid w:val="004C7311"/>
    <w:rsid w:val="004D09DE"/>
    <w:rsid w:val="004D1326"/>
    <w:rsid w:val="004D156D"/>
    <w:rsid w:val="004D245B"/>
    <w:rsid w:val="004D3A61"/>
    <w:rsid w:val="004D4B40"/>
    <w:rsid w:val="004D4EC5"/>
    <w:rsid w:val="004D53CD"/>
    <w:rsid w:val="004D5C69"/>
    <w:rsid w:val="004E0006"/>
    <w:rsid w:val="004E04C6"/>
    <w:rsid w:val="004E1B7E"/>
    <w:rsid w:val="004E36AC"/>
    <w:rsid w:val="004E3B27"/>
    <w:rsid w:val="004E4F9C"/>
    <w:rsid w:val="004E551D"/>
    <w:rsid w:val="004E6B07"/>
    <w:rsid w:val="004F301E"/>
    <w:rsid w:val="004F36E9"/>
    <w:rsid w:val="004F3B8C"/>
    <w:rsid w:val="004F7E66"/>
    <w:rsid w:val="00500B45"/>
    <w:rsid w:val="00504F8E"/>
    <w:rsid w:val="0050543C"/>
    <w:rsid w:val="005061EF"/>
    <w:rsid w:val="005066B0"/>
    <w:rsid w:val="00507E3B"/>
    <w:rsid w:val="005104BC"/>
    <w:rsid w:val="00513ECC"/>
    <w:rsid w:val="00514708"/>
    <w:rsid w:val="0051547B"/>
    <w:rsid w:val="00517B9C"/>
    <w:rsid w:val="00520A88"/>
    <w:rsid w:val="0052465F"/>
    <w:rsid w:val="00525DB0"/>
    <w:rsid w:val="0052799D"/>
    <w:rsid w:val="005307FB"/>
    <w:rsid w:val="00530D89"/>
    <w:rsid w:val="00530DA8"/>
    <w:rsid w:val="005314FC"/>
    <w:rsid w:val="0053180B"/>
    <w:rsid w:val="005318E4"/>
    <w:rsid w:val="00533150"/>
    <w:rsid w:val="00533F04"/>
    <w:rsid w:val="00534DEA"/>
    <w:rsid w:val="0053564E"/>
    <w:rsid w:val="005375D8"/>
    <w:rsid w:val="0054173D"/>
    <w:rsid w:val="00543615"/>
    <w:rsid w:val="0054431C"/>
    <w:rsid w:val="00545926"/>
    <w:rsid w:val="005459BD"/>
    <w:rsid w:val="00546EAC"/>
    <w:rsid w:val="00547D74"/>
    <w:rsid w:val="005504A4"/>
    <w:rsid w:val="00551F9A"/>
    <w:rsid w:val="0055224C"/>
    <w:rsid w:val="005552B5"/>
    <w:rsid w:val="00555953"/>
    <w:rsid w:val="00557920"/>
    <w:rsid w:val="005634A5"/>
    <w:rsid w:val="00564192"/>
    <w:rsid w:val="005708BE"/>
    <w:rsid w:val="00571386"/>
    <w:rsid w:val="00571D19"/>
    <w:rsid w:val="00571EDB"/>
    <w:rsid w:val="00572CDE"/>
    <w:rsid w:val="005735EA"/>
    <w:rsid w:val="005749C4"/>
    <w:rsid w:val="0057591B"/>
    <w:rsid w:val="0058248C"/>
    <w:rsid w:val="00582DD9"/>
    <w:rsid w:val="00583E4C"/>
    <w:rsid w:val="00583E6E"/>
    <w:rsid w:val="00584A5F"/>
    <w:rsid w:val="00584BF4"/>
    <w:rsid w:val="00584C5E"/>
    <w:rsid w:val="0058543D"/>
    <w:rsid w:val="00586631"/>
    <w:rsid w:val="0058797E"/>
    <w:rsid w:val="005903DA"/>
    <w:rsid w:val="00590C54"/>
    <w:rsid w:val="0059143A"/>
    <w:rsid w:val="00591F82"/>
    <w:rsid w:val="00592F7D"/>
    <w:rsid w:val="00593108"/>
    <w:rsid w:val="00593AC3"/>
    <w:rsid w:val="00595C89"/>
    <w:rsid w:val="00596689"/>
    <w:rsid w:val="005972B4"/>
    <w:rsid w:val="005A107C"/>
    <w:rsid w:val="005A4764"/>
    <w:rsid w:val="005A49CA"/>
    <w:rsid w:val="005A58E3"/>
    <w:rsid w:val="005A68BA"/>
    <w:rsid w:val="005A6A3E"/>
    <w:rsid w:val="005A7247"/>
    <w:rsid w:val="005B1C32"/>
    <w:rsid w:val="005B2ED1"/>
    <w:rsid w:val="005B5CE8"/>
    <w:rsid w:val="005B6990"/>
    <w:rsid w:val="005C0630"/>
    <w:rsid w:val="005C4EAB"/>
    <w:rsid w:val="005D02B6"/>
    <w:rsid w:val="005D0562"/>
    <w:rsid w:val="005D3387"/>
    <w:rsid w:val="005D433E"/>
    <w:rsid w:val="005D5A1C"/>
    <w:rsid w:val="005D6677"/>
    <w:rsid w:val="005D7EB9"/>
    <w:rsid w:val="005E56B5"/>
    <w:rsid w:val="005E655C"/>
    <w:rsid w:val="005E7993"/>
    <w:rsid w:val="005F0EF4"/>
    <w:rsid w:val="005F1593"/>
    <w:rsid w:val="005F16D6"/>
    <w:rsid w:val="005F170E"/>
    <w:rsid w:val="005F19AD"/>
    <w:rsid w:val="005F1CE4"/>
    <w:rsid w:val="005F3A9B"/>
    <w:rsid w:val="005F4D03"/>
    <w:rsid w:val="005F6669"/>
    <w:rsid w:val="005F6BD4"/>
    <w:rsid w:val="005F7BCA"/>
    <w:rsid w:val="00600ECD"/>
    <w:rsid w:val="006015F6"/>
    <w:rsid w:val="006016AD"/>
    <w:rsid w:val="006041FA"/>
    <w:rsid w:val="006046FE"/>
    <w:rsid w:val="00606019"/>
    <w:rsid w:val="006061EB"/>
    <w:rsid w:val="006069DC"/>
    <w:rsid w:val="0062109B"/>
    <w:rsid w:val="0062364B"/>
    <w:rsid w:val="00623811"/>
    <w:rsid w:val="00623A54"/>
    <w:rsid w:val="00627949"/>
    <w:rsid w:val="00631F14"/>
    <w:rsid w:val="006339BC"/>
    <w:rsid w:val="0063519C"/>
    <w:rsid w:val="00642DDE"/>
    <w:rsid w:val="006437C3"/>
    <w:rsid w:val="00643D1C"/>
    <w:rsid w:val="0064512D"/>
    <w:rsid w:val="00645A10"/>
    <w:rsid w:val="006514D7"/>
    <w:rsid w:val="006518F9"/>
    <w:rsid w:val="00652FAC"/>
    <w:rsid w:val="00654C93"/>
    <w:rsid w:val="00656248"/>
    <w:rsid w:val="0065648B"/>
    <w:rsid w:val="00656724"/>
    <w:rsid w:val="00657627"/>
    <w:rsid w:val="00660E3D"/>
    <w:rsid w:val="00662351"/>
    <w:rsid w:val="00666055"/>
    <w:rsid w:val="00666138"/>
    <w:rsid w:val="00666CB7"/>
    <w:rsid w:val="006702EE"/>
    <w:rsid w:val="0067689E"/>
    <w:rsid w:val="00682149"/>
    <w:rsid w:val="0068347A"/>
    <w:rsid w:val="0068367A"/>
    <w:rsid w:val="006841A1"/>
    <w:rsid w:val="006856BD"/>
    <w:rsid w:val="006858C4"/>
    <w:rsid w:val="00687F03"/>
    <w:rsid w:val="0069052A"/>
    <w:rsid w:val="006916C7"/>
    <w:rsid w:val="00691FC4"/>
    <w:rsid w:val="0069217C"/>
    <w:rsid w:val="0069474F"/>
    <w:rsid w:val="00694A50"/>
    <w:rsid w:val="006A1E6A"/>
    <w:rsid w:val="006A307A"/>
    <w:rsid w:val="006A3859"/>
    <w:rsid w:val="006A4318"/>
    <w:rsid w:val="006B4146"/>
    <w:rsid w:val="006B4897"/>
    <w:rsid w:val="006B4B7E"/>
    <w:rsid w:val="006B4B9B"/>
    <w:rsid w:val="006B6699"/>
    <w:rsid w:val="006C4B1D"/>
    <w:rsid w:val="006C5BA5"/>
    <w:rsid w:val="006C663A"/>
    <w:rsid w:val="006C68B0"/>
    <w:rsid w:val="006C7DF4"/>
    <w:rsid w:val="006D0709"/>
    <w:rsid w:val="006D33DB"/>
    <w:rsid w:val="006D4E32"/>
    <w:rsid w:val="006D53E5"/>
    <w:rsid w:val="006D6F4A"/>
    <w:rsid w:val="006E1B90"/>
    <w:rsid w:val="006E1DDE"/>
    <w:rsid w:val="006E37AD"/>
    <w:rsid w:val="006E4522"/>
    <w:rsid w:val="006E4F33"/>
    <w:rsid w:val="006E579B"/>
    <w:rsid w:val="006E62B9"/>
    <w:rsid w:val="006E76A5"/>
    <w:rsid w:val="006F243A"/>
    <w:rsid w:val="006F2836"/>
    <w:rsid w:val="006F3A50"/>
    <w:rsid w:val="006F5422"/>
    <w:rsid w:val="006F5571"/>
    <w:rsid w:val="006F59E0"/>
    <w:rsid w:val="006F7DFD"/>
    <w:rsid w:val="00700075"/>
    <w:rsid w:val="0070169E"/>
    <w:rsid w:val="00702E25"/>
    <w:rsid w:val="007036B6"/>
    <w:rsid w:val="00703E97"/>
    <w:rsid w:val="00704754"/>
    <w:rsid w:val="00705D80"/>
    <w:rsid w:val="007131A3"/>
    <w:rsid w:val="007142BF"/>
    <w:rsid w:val="00714D07"/>
    <w:rsid w:val="0071714E"/>
    <w:rsid w:val="007176E5"/>
    <w:rsid w:val="00723324"/>
    <w:rsid w:val="00724658"/>
    <w:rsid w:val="00730D9D"/>
    <w:rsid w:val="00731EDF"/>
    <w:rsid w:val="00732E1A"/>
    <w:rsid w:val="00733CBA"/>
    <w:rsid w:val="0073416B"/>
    <w:rsid w:val="00734C3A"/>
    <w:rsid w:val="00734EED"/>
    <w:rsid w:val="00735929"/>
    <w:rsid w:val="00736243"/>
    <w:rsid w:val="007370C6"/>
    <w:rsid w:val="00737579"/>
    <w:rsid w:val="007400FB"/>
    <w:rsid w:val="0074075D"/>
    <w:rsid w:val="00741B86"/>
    <w:rsid w:val="00744C03"/>
    <w:rsid w:val="00744C57"/>
    <w:rsid w:val="00747E7F"/>
    <w:rsid w:val="00750C70"/>
    <w:rsid w:val="007517A4"/>
    <w:rsid w:val="00752924"/>
    <w:rsid w:val="00753B94"/>
    <w:rsid w:val="00754DD8"/>
    <w:rsid w:val="00754FEF"/>
    <w:rsid w:val="00756A9D"/>
    <w:rsid w:val="00756B26"/>
    <w:rsid w:val="00761BBC"/>
    <w:rsid w:val="00762516"/>
    <w:rsid w:val="00762524"/>
    <w:rsid w:val="00763CA3"/>
    <w:rsid w:val="00765EC1"/>
    <w:rsid w:val="007718E3"/>
    <w:rsid w:val="007719AF"/>
    <w:rsid w:val="00776485"/>
    <w:rsid w:val="00776E66"/>
    <w:rsid w:val="007774B9"/>
    <w:rsid w:val="0078068F"/>
    <w:rsid w:val="00783C5E"/>
    <w:rsid w:val="00784167"/>
    <w:rsid w:val="00785CCC"/>
    <w:rsid w:val="007869CA"/>
    <w:rsid w:val="00786C45"/>
    <w:rsid w:val="00790FB0"/>
    <w:rsid w:val="007920F1"/>
    <w:rsid w:val="007924BA"/>
    <w:rsid w:val="00794DF3"/>
    <w:rsid w:val="0079550B"/>
    <w:rsid w:val="007964BE"/>
    <w:rsid w:val="00797AB2"/>
    <w:rsid w:val="00797ED1"/>
    <w:rsid w:val="007A02D3"/>
    <w:rsid w:val="007A06F4"/>
    <w:rsid w:val="007A32E3"/>
    <w:rsid w:val="007A34B5"/>
    <w:rsid w:val="007A3E8A"/>
    <w:rsid w:val="007A44D0"/>
    <w:rsid w:val="007B179B"/>
    <w:rsid w:val="007B20C3"/>
    <w:rsid w:val="007B38E0"/>
    <w:rsid w:val="007B438A"/>
    <w:rsid w:val="007B5397"/>
    <w:rsid w:val="007B54C3"/>
    <w:rsid w:val="007B5C11"/>
    <w:rsid w:val="007B7178"/>
    <w:rsid w:val="007C254B"/>
    <w:rsid w:val="007D0EE8"/>
    <w:rsid w:val="007D1087"/>
    <w:rsid w:val="007D2025"/>
    <w:rsid w:val="007D28AD"/>
    <w:rsid w:val="007D4ADB"/>
    <w:rsid w:val="007D681C"/>
    <w:rsid w:val="007D6DEC"/>
    <w:rsid w:val="007E077B"/>
    <w:rsid w:val="007E1BBE"/>
    <w:rsid w:val="007E4FF9"/>
    <w:rsid w:val="007E57FE"/>
    <w:rsid w:val="007E635F"/>
    <w:rsid w:val="007E7227"/>
    <w:rsid w:val="007F0014"/>
    <w:rsid w:val="007F0B0C"/>
    <w:rsid w:val="007F0FC8"/>
    <w:rsid w:val="007F3A34"/>
    <w:rsid w:val="007F45AD"/>
    <w:rsid w:val="007F4768"/>
    <w:rsid w:val="007F5711"/>
    <w:rsid w:val="007F5C9C"/>
    <w:rsid w:val="007F66CD"/>
    <w:rsid w:val="0080036E"/>
    <w:rsid w:val="00800613"/>
    <w:rsid w:val="00800827"/>
    <w:rsid w:val="0080121C"/>
    <w:rsid w:val="00801A5F"/>
    <w:rsid w:val="0080289B"/>
    <w:rsid w:val="00803455"/>
    <w:rsid w:val="00806DB3"/>
    <w:rsid w:val="00806E3B"/>
    <w:rsid w:val="00810FAF"/>
    <w:rsid w:val="0081137E"/>
    <w:rsid w:val="00811FDA"/>
    <w:rsid w:val="008120BA"/>
    <w:rsid w:val="00820F7A"/>
    <w:rsid w:val="00823A84"/>
    <w:rsid w:val="0082639A"/>
    <w:rsid w:val="00826DEB"/>
    <w:rsid w:val="00830E00"/>
    <w:rsid w:val="0083102D"/>
    <w:rsid w:val="00835F41"/>
    <w:rsid w:val="0083665B"/>
    <w:rsid w:val="008368E0"/>
    <w:rsid w:val="00837A4D"/>
    <w:rsid w:val="00841701"/>
    <w:rsid w:val="0084337A"/>
    <w:rsid w:val="008474E8"/>
    <w:rsid w:val="00847CEB"/>
    <w:rsid w:val="00847E2D"/>
    <w:rsid w:val="00850C9D"/>
    <w:rsid w:val="0085171F"/>
    <w:rsid w:val="00852092"/>
    <w:rsid w:val="0085380D"/>
    <w:rsid w:val="00854804"/>
    <w:rsid w:val="00854AC0"/>
    <w:rsid w:val="00855485"/>
    <w:rsid w:val="008572D1"/>
    <w:rsid w:val="0085770C"/>
    <w:rsid w:val="008607DD"/>
    <w:rsid w:val="008643E2"/>
    <w:rsid w:val="00864E9D"/>
    <w:rsid w:val="00865CCF"/>
    <w:rsid w:val="00865FBC"/>
    <w:rsid w:val="00866CE1"/>
    <w:rsid w:val="00866E95"/>
    <w:rsid w:val="008673B8"/>
    <w:rsid w:val="008703AD"/>
    <w:rsid w:val="00870F5F"/>
    <w:rsid w:val="008733A6"/>
    <w:rsid w:val="00874F0A"/>
    <w:rsid w:val="00874F76"/>
    <w:rsid w:val="0087547E"/>
    <w:rsid w:val="008771B0"/>
    <w:rsid w:val="0088037B"/>
    <w:rsid w:val="0088045D"/>
    <w:rsid w:val="008806A3"/>
    <w:rsid w:val="00880920"/>
    <w:rsid w:val="008813ED"/>
    <w:rsid w:val="00883407"/>
    <w:rsid w:val="0088436A"/>
    <w:rsid w:val="00886E00"/>
    <w:rsid w:val="00887439"/>
    <w:rsid w:val="008874A0"/>
    <w:rsid w:val="0088779A"/>
    <w:rsid w:val="00891C09"/>
    <w:rsid w:val="0089451E"/>
    <w:rsid w:val="008971CA"/>
    <w:rsid w:val="00897241"/>
    <w:rsid w:val="008975B6"/>
    <w:rsid w:val="008A10E4"/>
    <w:rsid w:val="008A2B7E"/>
    <w:rsid w:val="008A33B9"/>
    <w:rsid w:val="008B04E7"/>
    <w:rsid w:val="008B0713"/>
    <w:rsid w:val="008B3A23"/>
    <w:rsid w:val="008B7080"/>
    <w:rsid w:val="008B7312"/>
    <w:rsid w:val="008C0297"/>
    <w:rsid w:val="008C071C"/>
    <w:rsid w:val="008C152A"/>
    <w:rsid w:val="008C1946"/>
    <w:rsid w:val="008C7817"/>
    <w:rsid w:val="008D0746"/>
    <w:rsid w:val="008D1031"/>
    <w:rsid w:val="008D1171"/>
    <w:rsid w:val="008D163A"/>
    <w:rsid w:val="008D247A"/>
    <w:rsid w:val="008D492C"/>
    <w:rsid w:val="008D51DD"/>
    <w:rsid w:val="008D5E00"/>
    <w:rsid w:val="008D7181"/>
    <w:rsid w:val="008E08ED"/>
    <w:rsid w:val="008E217F"/>
    <w:rsid w:val="008E2956"/>
    <w:rsid w:val="008E4AAE"/>
    <w:rsid w:val="008E567D"/>
    <w:rsid w:val="008E5C6D"/>
    <w:rsid w:val="008E6C5F"/>
    <w:rsid w:val="008F027A"/>
    <w:rsid w:val="008F04BD"/>
    <w:rsid w:val="008F4F03"/>
    <w:rsid w:val="008F5643"/>
    <w:rsid w:val="008F5F8A"/>
    <w:rsid w:val="00900419"/>
    <w:rsid w:val="00901A94"/>
    <w:rsid w:val="00902B9C"/>
    <w:rsid w:val="00903136"/>
    <w:rsid w:val="00906DEA"/>
    <w:rsid w:val="00907FEB"/>
    <w:rsid w:val="00911A2A"/>
    <w:rsid w:val="00911F68"/>
    <w:rsid w:val="009125C2"/>
    <w:rsid w:val="00912D5A"/>
    <w:rsid w:val="00912F25"/>
    <w:rsid w:val="00922AF3"/>
    <w:rsid w:val="00925E6F"/>
    <w:rsid w:val="00926603"/>
    <w:rsid w:val="00926FCC"/>
    <w:rsid w:val="00927481"/>
    <w:rsid w:val="00931CFE"/>
    <w:rsid w:val="00931D32"/>
    <w:rsid w:val="00932868"/>
    <w:rsid w:val="009328D6"/>
    <w:rsid w:val="009331F6"/>
    <w:rsid w:val="00934912"/>
    <w:rsid w:val="0093499C"/>
    <w:rsid w:val="0093543A"/>
    <w:rsid w:val="00936AE8"/>
    <w:rsid w:val="00941CBF"/>
    <w:rsid w:val="00942E8E"/>
    <w:rsid w:val="00943267"/>
    <w:rsid w:val="00944845"/>
    <w:rsid w:val="00944DD1"/>
    <w:rsid w:val="00951C15"/>
    <w:rsid w:val="00953122"/>
    <w:rsid w:val="00957BBE"/>
    <w:rsid w:val="009610F8"/>
    <w:rsid w:val="0096174C"/>
    <w:rsid w:val="00964A29"/>
    <w:rsid w:val="009650E6"/>
    <w:rsid w:val="009720C2"/>
    <w:rsid w:val="0097428D"/>
    <w:rsid w:val="009747FD"/>
    <w:rsid w:val="00974CE5"/>
    <w:rsid w:val="00976130"/>
    <w:rsid w:val="00977590"/>
    <w:rsid w:val="00980199"/>
    <w:rsid w:val="00981EE2"/>
    <w:rsid w:val="00982283"/>
    <w:rsid w:val="009854AE"/>
    <w:rsid w:val="00985B8D"/>
    <w:rsid w:val="00986390"/>
    <w:rsid w:val="00990C7C"/>
    <w:rsid w:val="0099145C"/>
    <w:rsid w:val="0099265D"/>
    <w:rsid w:val="00994631"/>
    <w:rsid w:val="00994786"/>
    <w:rsid w:val="0099523B"/>
    <w:rsid w:val="00997BA8"/>
    <w:rsid w:val="00997F0D"/>
    <w:rsid w:val="009A3BD7"/>
    <w:rsid w:val="009A41FE"/>
    <w:rsid w:val="009A47CB"/>
    <w:rsid w:val="009A5AAB"/>
    <w:rsid w:val="009A5FBF"/>
    <w:rsid w:val="009A712B"/>
    <w:rsid w:val="009B3DFB"/>
    <w:rsid w:val="009B4290"/>
    <w:rsid w:val="009B4E30"/>
    <w:rsid w:val="009B59FC"/>
    <w:rsid w:val="009B5BD6"/>
    <w:rsid w:val="009B5CD7"/>
    <w:rsid w:val="009B7758"/>
    <w:rsid w:val="009B7F47"/>
    <w:rsid w:val="009C0521"/>
    <w:rsid w:val="009C0712"/>
    <w:rsid w:val="009C299F"/>
    <w:rsid w:val="009C3A99"/>
    <w:rsid w:val="009C4F83"/>
    <w:rsid w:val="009C5CA6"/>
    <w:rsid w:val="009D37B3"/>
    <w:rsid w:val="009D4331"/>
    <w:rsid w:val="009D529C"/>
    <w:rsid w:val="009D623A"/>
    <w:rsid w:val="009D62B6"/>
    <w:rsid w:val="009E0456"/>
    <w:rsid w:val="009E3242"/>
    <w:rsid w:val="009E55DB"/>
    <w:rsid w:val="009F1367"/>
    <w:rsid w:val="009F1721"/>
    <w:rsid w:val="009F1790"/>
    <w:rsid w:val="009F1ABA"/>
    <w:rsid w:val="009F1F25"/>
    <w:rsid w:val="009F2F75"/>
    <w:rsid w:val="009F710C"/>
    <w:rsid w:val="009F7CE0"/>
    <w:rsid w:val="00A0093C"/>
    <w:rsid w:val="00A03CF9"/>
    <w:rsid w:val="00A058B8"/>
    <w:rsid w:val="00A0611C"/>
    <w:rsid w:val="00A07C82"/>
    <w:rsid w:val="00A117C1"/>
    <w:rsid w:val="00A11E8C"/>
    <w:rsid w:val="00A12542"/>
    <w:rsid w:val="00A12DD6"/>
    <w:rsid w:val="00A14592"/>
    <w:rsid w:val="00A160C3"/>
    <w:rsid w:val="00A162C8"/>
    <w:rsid w:val="00A1677D"/>
    <w:rsid w:val="00A20D30"/>
    <w:rsid w:val="00A219C8"/>
    <w:rsid w:val="00A21A06"/>
    <w:rsid w:val="00A24E04"/>
    <w:rsid w:val="00A2649D"/>
    <w:rsid w:val="00A31455"/>
    <w:rsid w:val="00A314B6"/>
    <w:rsid w:val="00A31EB0"/>
    <w:rsid w:val="00A335BB"/>
    <w:rsid w:val="00A36135"/>
    <w:rsid w:val="00A36B7D"/>
    <w:rsid w:val="00A370A8"/>
    <w:rsid w:val="00A37284"/>
    <w:rsid w:val="00A37F01"/>
    <w:rsid w:val="00A40007"/>
    <w:rsid w:val="00A414B2"/>
    <w:rsid w:val="00A4244E"/>
    <w:rsid w:val="00A52415"/>
    <w:rsid w:val="00A545FE"/>
    <w:rsid w:val="00A551DD"/>
    <w:rsid w:val="00A6365D"/>
    <w:rsid w:val="00A64451"/>
    <w:rsid w:val="00A672E6"/>
    <w:rsid w:val="00A67AF6"/>
    <w:rsid w:val="00A7120F"/>
    <w:rsid w:val="00A71757"/>
    <w:rsid w:val="00A717A6"/>
    <w:rsid w:val="00A720CE"/>
    <w:rsid w:val="00A726A1"/>
    <w:rsid w:val="00A8108C"/>
    <w:rsid w:val="00A825DF"/>
    <w:rsid w:val="00A82974"/>
    <w:rsid w:val="00A841AB"/>
    <w:rsid w:val="00A84456"/>
    <w:rsid w:val="00A8480B"/>
    <w:rsid w:val="00A8562C"/>
    <w:rsid w:val="00A86848"/>
    <w:rsid w:val="00A90658"/>
    <w:rsid w:val="00A9094D"/>
    <w:rsid w:val="00A9485C"/>
    <w:rsid w:val="00A94F9E"/>
    <w:rsid w:val="00AA2A0C"/>
    <w:rsid w:val="00AA2A7E"/>
    <w:rsid w:val="00AA35E0"/>
    <w:rsid w:val="00AA6048"/>
    <w:rsid w:val="00AA6EC5"/>
    <w:rsid w:val="00AB1462"/>
    <w:rsid w:val="00AB32E9"/>
    <w:rsid w:val="00AB4926"/>
    <w:rsid w:val="00AB4FC3"/>
    <w:rsid w:val="00AB5FB6"/>
    <w:rsid w:val="00AC103D"/>
    <w:rsid w:val="00AC1141"/>
    <w:rsid w:val="00AC1A5E"/>
    <w:rsid w:val="00AC4015"/>
    <w:rsid w:val="00AC4658"/>
    <w:rsid w:val="00AC4847"/>
    <w:rsid w:val="00AC4AD0"/>
    <w:rsid w:val="00AC6588"/>
    <w:rsid w:val="00AC7247"/>
    <w:rsid w:val="00AC7C44"/>
    <w:rsid w:val="00AD0D23"/>
    <w:rsid w:val="00AD0DD1"/>
    <w:rsid w:val="00AD2013"/>
    <w:rsid w:val="00AD27B5"/>
    <w:rsid w:val="00AD28F6"/>
    <w:rsid w:val="00AD2988"/>
    <w:rsid w:val="00AD32E3"/>
    <w:rsid w:val="00AD389E"/>
    <w:rsid w:val="00AD3B72"/>
    <w:rsid w:val="00AD4CCE"/>
    <w:rsid w:val="00AD58A1"/>
    <w:rsid w:val="00AE0059"/>
    <w:rsid w:val="00AE0326"/>
    <w:rsid w:val="00AE06EB"/>
    <w:rsid w:val="00AE1A17"/>
    <w:rsid w:val="00AE266F"/>
    <w:rsid w:val="00AE41A4"/>
    <w:rsid w:val="00AE5783"/>
    <w:rsid w:val="00AE617D"/>
    <w:rsid w:val="00AF1C11"/>
    <w:rsid w:val="00AF5560"/>
    <w:rsid w:val="00AF7C90"/>
    <w:rsid w:val="00B01236"/>
    <w:rsid w:val="00B06BAF"/>
    <w:rsid w:val="00B06FFE"/>
    <w:rsid w:val="00B070EC"/>
    <w:rsid w:val="00B10024"/>
    <w:rsid w:val="00B11DDF"/>
    <w:rsid w:val="00B12C01"/>
    <w:rsid w:val="00B14082"/>
    <w:rsid w:val="00B14C75"/>
    <w:rsid w:val="00B168D3"/>
    <w:rsid w:val="00B17533"/>
    <w:rsid w:val="00B20A3F"/>
    <w:rsid w:val="00B20CC6"/>
    <w:rsid w:val="00B22A0D"/>
    <w:rsid w:val="00B233F5"/>
    <w:rsid w:val="00B23ECC"/>
    <w:rsid w:val="00B243C9"/>
    <w:rsid w:val="00B2593F"/>
    <w:rsid w:val="00B3125B"/>
    <w:rsid w:val="00B31DDF"/>
    <w:rsid w:val="00B356AA"/>
    <w:rsid w:val="00B36C8F"/>
    <w:rsid w:val="00B412FD"/>
    <w:rsid w:val="00B4136A"/>
    <w:rsid w:val="00B413B9"/>
    <w:rsid w:val="00B414DE"/>
    <w:rsid w:val="00B4274F"/>
    <w:rsid w:val="00B47D86"/>
    <w:rsid w:val="00B539D3"/>
    <w:rsid w:val="00B55FF1"/>
    <w:rsid w:val="00B57022"/>
    <w:rsid w:val="00B5782B"/>
    <w:rsid w:val="00B62147"/>
    <w:rsid w:val="00B63CDA"/>
    <w:rsid w:val="00B63E8E"/>
    <w:rsid w:val="00B67751"/>
    <w:rsid w:val="00B71183"/>
    <w:rsid w:val="00B7150A"/>
    <w:rsid w:val="00B75C33"/>
    <w:rsid w:val="00B76652"/>
    <w:rsid w:val="00B80326"/>
    <w:rsid w:val="00B807BF"/>
    <w:rsid w:val="00B80CB9"/>
    <w:rsid w:val="00B80D44"/>
    <w:rsid w:val="00B81489"/>
    <w:rsid w:val="00B85FC6"/>
    <w:rsid w:val="00B901B1"/>
    <w:rsid w:val="00B91436"/>
    <w:rsid w:val="00B927B1"/>
    <w:rsid w:val="00B93D66"/>
    <w:rsid w:val="00B94BB2"/>
    <w:rsid w:val="00BA238F"/>
    <w:rsid w:val="00BA35AB"/>
    <w:rsid w:val="00BA3B34"/>
    <w:rsid w:val="00BA59EF"/>
    <w:rsid w:val="00BA64F5"/>
    <w:rsid w:val="00BA7D69"/>
    <w:rsid w:val="00BB1F73"/>
    <w:rsid w:val="00BB219C"/>
    <w:rsid w:val="00BB3861"/>
    <w:rsid w:val="00BB39AE"/>
    <w:rsid w:val="00BB4A69"/>
    <w:rsid w:val="00BB77A9"/>
    <w:rsid w:val="00BC097B"/>
    <w:rsid w:val="00BC11B9"/>
    <w:rsid w:val="00BC1AFE"/>
    <w:rsid w:val="00BC27D1"/>
    <w:rsid w:val="00BC53EB"/>
    <w:rsid w:val="00BC59E5"/>
    <w:rsid w:val="00BC675F"/>
    <w:rsid w:val="00BD30F8"/>
    <w:rsid w:val="00BD477C"/>
    <w:rsid w:val="00BD5C9E"/>
    <w:rsid w:val="00BD7170"/>
    <w:rsid w:val="00BE15B1"/>
    <w:rsid w:val="00BE402B"/>
    <w:rsid w:val="00BE5149"/>
    <w:rsid w:val="00BE58A4"/>
    <w:rsid w:val="00BE60C9"/>
    <w:rsid w:val="00BE70CB"/>
    <w:rsid w:val="00BE7298"/>
    <w:rsid w:val="00BF1869"/>
    <w:rsid w:val="00BF2221"/>
    <w:rsid w:val="00BF744A"/>
    <w:rsid w:val="00BF7644"/>
    <w:rsid w:val="00C00504"/>
    <w:rsid w:val="00C00AFF"/>
    <w:rsid w:val="00C056D3"/>
    <w:rsid w:val="00C05B58"/>
    <w:rsid w:val="00C05B5F"/>
    <w:rsid w:val="00C062AA"/>
    <w:rsid w:val="00C066D2"/>
    <w:rsid w:val="00C11EA9"/>
    <w:rsid w:val="00C12429"/>
    <w:rsid w:val="00C12516"/>
    <w:rsid w:val="00C1396D"/>
    <w:rsid w:val="00C14EA1"/>
    <w:rsid w:val="00C15D4F"/>
    <w:rsid w:val="00C1669D"/>
    <w:rsid w:val="00C16EAA"/>
    <w:rsid w:val="00C2259B"/>
    <w:rsid w:val="00C225DC"/>
    <w:rsid w:val="00C23581"/>
    <w:rsid w:val="00C23C5A"/>
    <w:rsid w:val="00C24220"/>
    <w:rsid w:val="00C25CA0"/>
    <w:rsid w:val="00C27D42"/>
    <w:rsid w:val="00C30036"/>
    <w:rsid w:val="00C33B61"/>
    <w:rsid w:val="00C34B66"/>
    <w:rsid w:val="00C34B75"/>
    <w:rsid w:val="00C34D20"/>
    <w:rsid w:val="00C35356"/>
    <w:rsid w:val="00C3668A"/>
    <w:rsid w:val="00C4052D"/>
    <w:rsid w:val="00C406F0"/>
    <w:rsid w:val="00C416A0"/>
    <w:rsid w:val="00C425BF"/>
    <w:rsid w:val="00C436F7"/>
    <w:rsid w:val="00C44066"/>
    <w:rsid w:val="00C442B9"/>
    <w:rsid w:val="00C44722"/>
    <w:rsid w:val="00C4486D"/>
    <w:rsid w:val="00C44DA3"/>
    <w:rsid w:val="00C466B9"/>
    <w:rsid w:val="00C508B9"/>
    <w:rsid w:val="00C51F58"/>
    <w:rsid w:val="00C53136"/>
    <w:rsid w:val="00C548F8"/>
    <w:rsid w:val="00C54CBC"/>
    <w:rsid w:val="00C55728"/>
    <w:rsid w:val="00C56E9A"/>
    <w:rsid w:val="00C5701E"/>
    <w:rsid w:val="00C5725F"/>
    <w:rsid w:val="00C5748E"/>
    <w:rsid w:val="00C601CB"/>
    <w:rsid w:val="00C609AD"/>
    <w:rsid w:val="00C615DD"/>
    <w:rsid w:val="00C617D6"/>
    <w:rsid w:val="00C62C2E"/>
    <w:rsid w:val="00C63DE7"/>
    <w:rsid w:val="00C6402E"/>
    <w:rsid w:val="00C65F92"/>
    <w:rsid w:val="00C6677C"/>
    <w:rsid w:val="00C67556"/>
    <w:rsid w:val="00C71043"/>
    <w:rsid w:val="00C71166"/>
    <w:rsid w:val="00C71BD4"/>
    <w:rsid w:val="00C727D1"/>
    <w:rsid w:val="00C7338C"/>
    <w:rsid w:val="00C733AD"/>
    <w:rsid w:val="00C73F0F"/>
    <w:rsid w:val="00C754AD"/>
    <w:rsid w:val="00C779BC"/>
    <w:rsid w:val="00C801A2"/>
    <w:rsid w:val="00C80875"/>
    <w:rsid w:val="00C81271"/>
    <w:rsid w:val="00C8620F"/>
    <w:rsid w:val="00C86800"/>
    <w:rsid w:val="00C8687F"/>
    <w:rsid w:val="00C92425"/>
    <w:rsid w:val="00C96949"/>
    <w:rsid w:val="00CA1D99"/>
    <w:rsid w:val="00CA340A"/>
    <w:rsid w:val="00CA363F"/>
    <w:rsid w:val="00CA600B"/>
    <w:rsid w:val="00CA7BC8"/>
    <w:rsid w:val="00CA7D74"/>
    <w:rsid w:val="00CA7F8D"/>
    <w:rsid w:val="00CB053A"/>
    <w:rsid w:val="00CB0F1A"/>
    <w:rsid w:val="00CB1126"/>
    <w:rsid w:val="00CB53FE"/>
    <w:rsid w:val="00CB55EC"/>
    <w:rsid w:val="00CB6BF1"/>
    <w:rsid w:val="00CB73F4"/>
    <w:rsid w:val="00CC0480"/>
    <w:rsid w:val="00CC1C3B"/>
    <w:rsid w:val="00CC1CE3"/>
    <w:rsid w:val="00CC2539"/>
    <w:rsid w:val="00CC2E8E"/>
    <w:rsid w:val="00CC39BF"/>
    <w:rsid w:val="00CC502B"/>
    <w:rsid w:val="00CD02F4"/>
    <w:rsid w:val="00CD4831"/>
    <w:rsid w:val="00CD547D"/>
    <w:rsid w:val="00CD6273"/>
    <w:rsid w:val="00CD694C"/>
    <w:rsid w:val="00CE099A"/>
    <w:rsid w:val="00CE20BF"/>
    <w:rsid w:val="00CE276B"/>
    <w:rsid w:val="00CE3E6F"/>
    <w:rsid w:val="00CE4FB5"/>
    <w:rsid w:val="00CE5ED3"/>
    <w:rsid w:val="00CE6F09"/>
    <w:rsid w:val="00CE7ED3"/>
    <w:rsid w:val="00CF180A"/>
    <w:rsid w:val="00CF1C08"/>
    <w:rsid w:val="00CF34F6"/>
    <w:rsid w:val="00CF3F68"/>
    <w:rsid w:val="00CF47C4"/>
    <w:rsid w:val="00CF730F"/>
    <w:rsid w:val="00D038A6"/>
    <w:rsid w:val="00D05E3E"/>
    <w:rsid w:val="00D0601E"/>
    <w:rsid w:val="00D1215A"/>
    <w:rsid w:val="00D12376"/>
    <w:rsid w:val="00D13C50"/>
    <w:rsid w:val="00D13CF4"/>
    <w:rsid w:val="00D15FBB"/>
    <w:rsid w:val="00D16506"/>
    <w:rsid w:val="00D16D76"/>
    <w:rsid w:val="00D16D9F"/>
    <w:rsid w:val="00D172A4"/>
    <w:rsid w:val="00D21AD6"/>
    <w:rsid w:val="00D22EFC"/>
    <w:rsid w:val="00D24D4F"/>
    <w:rsid w:val="00D25A1B"/>
    <w:rsid w:val="00D25B2B"/>
    <w:rsid w:val="00D25E79"/>
    <w:rsid w:val="00D263C2"/>
    <w:rsid w:val="00D278E6"/>
    <w:rsid w:val="00D30802"/>
    <w:rsid w:val="00D32A41"/>
    <w:rsid w:val="00D334D1"/>
    <w:rsid w:val="00D374B2"/>
    <w:rsid w:val="00D418B3"/>
    <w:rsid w:val="00D41F30"/>
    <w:rsid w:val="00D42AF0"/>
    <w:rsid w:val="00D43132"/>
    <w:rsid w:val="00D43498"/>
    <w:rsid w:val="00D44EC6"/>
    <w:rsid w:val="00D45DAF"/>
    <w:rsid w:val="00D4618C"/>
    <w:rsid w:val="00D47188"/>
    <w:rsid w:val="00D47331"/>
    <w:rsid w:val="00D50DDA"/>
    <w:rsid w:val="00D51224"/>
    <w:rsid w:val="00D53B0E"/>
    <w:rsid w:val="00D53C0F"/>
    <w:rsid w:val="00D54557"/>
    <w:rsid w:val="00D54FFE"/>
    <w:rsid w:val="00D56768"/>
    <w:rsid w:val="00D57E87"/>
    <w:rsid w:val="00D60B00"/>
    <w:rsid w:val="00D61D2D"/>
    <w:rsid w:val="00D61F6C"/>
    <w:rsid w:val="00D633AE"/>
    <w:rsid w:val="00D6434C"/>
    <w:rsid w:val="00D64A28"/>
    <w:rsid w:val="00D66767"/>
    <w:rsid w:val="00D67B6D"/>
    <w:rsid w:val="00D67BF9"/>
    <w:rsid w:val="00D67F66"/>
    <w:rsid w:val="00D71CC4"/>
    <w:rsid w:val="00D76AD0"/>
    <w:rsid w:val="00D76F48"/>
    <w:rsid w:val="00D77094"/>
    <w:rsid w:val="00D86632"/>
    <w:rsid w:val="00D87C7F"/>
    <w:rsid w:val="00D90AF5"/>
    <w:rsid w:val="00D91B2A"/>
    <w:rsid w:val="00D93C89"/>
    <w:rsid w:val="00D93D65"/>
    <w:rsid w:val="00D95E2D"/>
    <w:rsid w:val="00D95FF9"/>
    <w:rsid w:val="00D96396"/>
    <w:rsid w:val="00D974BB"/>
    <w:rsid w:val="00DA2B10"/>
    <w:rsid w:val="00DA4347"/>
    <w:rsid w:val="00DA4ACC"/>
    <w:rsid w:val="00DA6DDA"/>
    <w:rsid w:val="00DA6ED3"/>
    <w:rsid w:val="00DB1C6A"/>
    <w:rsid w:val="00DB3EAE"/>
    <w:rsid w:val="00DB5117"/>
    <w:rsid w:val="00DB7B05"/>
    <w:rsid w:val="00DC0604"/>
    <w:rsid w:val="00DC37CF"/>
    <w:rsid w:val="00DC3F46"/>
    <w:rsid w:val="00DC4F84"/>
    <w:rsid w:val="00DC55F3"/>
    <w:rsid w:val="00DC5FAC"/>
    <w:rsid w:val="00DC74B4"/>
    <w:rsid w:val="00DC78F7"/>
    <w:rsid w:val="00DC7A3C"/>
    <w:rsid w:val="00DD35E7"/>
    <w:rsid w:val="00DD3B2E"/>
    <w:rsid w:val="00DD4672"/>
    <w:rsid w:val="00DE2759"/>
    <w:rsid w:val="00DE44C5"/>
    <w:rsid w:val="00DE4EEC"/>
    <w:rsid w:val="00DE5CB8"/>
    <w:rsid w:val="00DE6BCF"/>
    <w:rsid w:val="00DF136D"/>
    <w:rsid w:val="00DF18A1"/>
    <w:rsid w:val="00DF2285"/>
    <w:rsid w:val="00DF25DD"/>
    <w:rsid w:val="00DF49F2"/>
    <w:rsid w:val="00DF5DCE"/>
    <w:rsid w:val="00DF7CC8"/>
    <w:rsid w:val="00E004B8"/>
    <w:rsid w:val="00E00BC8"/>
    <w:rsid w:val="00E029AA"/>
    <w:rsid w:val="00E03188"/>
    <w:rsid w:val="00E07D16"/>
    <w:rsid w:val="00E10DA6"/>
    <w:rsid w:val="00E11942"/>
    <w:rsid w:val="00E13297"/>
    <w:rsid w:val="00E13443"/>
    <w:rsid w:val="00E13677"/>
    <w:rsid w:val="00E159CF"/>
    <w:rsid w:val="00E17B48"/>
    <w:rsid w:val="00E206CF"/>
    <w:rsid w:val="00E21985"/>
    <w:rsid w:val="00E225F5"/>
    <w:rsid w:val="00E24740"/>
    <w:rsid w:val="00E366DF"/>
    <w:rsid w:val="00E3705D"/>
    <w:rsid w:val="00E41B6C"/>
    <w:rsid w:val="00E43C12"/>
    <w:rsid w:val="00E43EFB"/>
    <w:rsid w:val="00E4639D"/>
    <w:rsid w:val="00E4676E"/>
    <w:rsid w:val="00E52E23"/>
    <w:rsid w:val="00E55516"/>
    <w:rsid w:val="00E56F01"/>
    <w:rsid w:val="00E573B7"/>
    <w:rsid w:val="00E60C08"/>
    <w:rsid w:val="00E62503"/>
    <w:rsid w:val="00E66027"/>
    <w:rsid w:val="00E67A33"/>
    <w:rsid w:val="00E67A4B"/>
    <w:rsid w:val="00E70421"/>
    <w:rsid w:val="00E70D4B"/>
    <w:rsid w:val="00E70F6D"/>
    <w:rsid w:val="00E7244E"/>
    <w:rsid w:val="00E725B6"/>
    <w:rsid w:val="00E73585"/>
    <w:rsid w:val="00E75618"/>
    <w:rsid w:val="00E7644E"/>
    <w:rsid w:val="00E8124E"/>
    <w:rsid w:val="00E826AD"/>
    <w:rsid w:val="00E83052"/>
    <w:rsid w:val="00E85702"/>
    <w:rsid w:val="00E866E3"/>
    <w:rsid w:val="00E86C19"/>
    <w:rsid w:val="00E87072"/>
    <w:rsid w:val="00E87566"/>
    <w:rsid w:val="00E90649"/>
    <w:rsid w:val="00E911A4"/>
    <w:rsid w:val="00E9123A"/>
    <w:rsid w:val="00E912B3"/>
    <w:rsid w:val="00EA16B2"/>
    <w:rsid w:val="00EA18CC"/>
    <w:rsid w:val="00EA3443"/>
    <w:rsid w:val="00EA4316"/>
    <w:rsid w:val="00EA457C"/>
    <w:rsid w:val="00EA6D58"/>
    <w:rsid w:val="00EB1B96"/>
    <w:rsid w:val="00EB3218"/>
    <w:rsid w:val="00EB4FE9"/>
    <w:rsid w:val="00EB57B3"/>
    <w:rsid w:val="00EB62CC"/>
    <w:rsid w:val="00EB7345"/>
    <w:rsid w:val="00EC25E7"/>
    <w:rsid w:val="00EC2860"/>
    <w:rsid w:val="00EC3532"/>
    <w:rsid w:val="00EC3C08"/>
    <w:rsid w:val="00EC4209"/>
    <w:rsid w:val="00EC48D0"/>
    <w:rsid w:val="00EC5283"/>
    <w:rsid w:val="00EC68A5"/>
    <w:rsid w:val="00ED1115"/>
    <w:rsid w:val="00ED2E1F"/>
    <w:rsid w:val="00ED46C7"/>
    <w:rsid w:val="00ED4796"/>
    <w:rsid w:val="00ED4DBF"/>
    <w:rsid w:val="00ED5A4D"/>
    <w:rsid w:val="00ED5ECE"/>
    <w:rsid w:val="00ED666C"/>
    <w:rsid w:val="00ED7F50"/>
    <w:rsid w:val="00EE0CE9"/>
    <w:rsid w:val="00EE1673"/>
    <w:rsid w:val="00EE2157"/>
    <w:rsid w:val="00EE31A3"/>
    <w:rsid w:val="00EE4498"/>
    <w:rsid w:val="00EE7284"/>
    <w:rsid w:val="00EE7E43"/>
    <w:rsid w:val="00EF0708"/>
    <w:rsid w:val="00EF1082"/>
    <w:rsid w:val="00EF1A30"/>
    <w:rsid w:val="00EF6D54"/>
    <w:rsid w:val="00F01570"/>
    <w:rsid w:val="00F02A12"/>
    <w:rsid w:val="00F054FE"/>
    <w:rsid w:val="00F058C7"/>
    <w:rsid w:val="00F05C08"/>
    <w:rsid w:val="00F069A2"/>
    <w:rsid w:val="00F06BF5"/>
    <w:rsid w:val="00F109FA"/>
    <w:rsid w:val="00F12712"/>
    <w:rsid w:val="00F12FCB"/>
    <w:rsid w:val="00F133A0"/>
    <w:rsid w:val="00F1458F"/>
    <w:rsid w:val="00F15AB8"/>
    <w:rsid w:val="00F169D4"/>
    <w:rsid w:val="00F177F1"/>
    <w:rsid w:val="00F209E3"/>
    <w:rsid w:val="00F22CD8"/>
    <w:rsid w:val="00F23AA6"/>
    <w:rsid w:val="00F24F23"/>
    <w:rsid w:val="00F25E93"/>
    <w:rsid w:val="00F27DB2"/>
    <w:rsid w:val="00F31575"/>
    <w:rsid w:val="00F3157A"/>
    <w:rsid w:val="00F404ED"/>
    <w:rsid w:val="00F4053B"/>
    <w:rsid w:val="00F40B3F"/>
    <w:rsid w:val="00F40CF8"/>
    <w:rsid w:val="00F425EF"/>
    <w:rsid w:val="00F4319A"/>
    <w:rsid w:val="00F4325B"/>
    <w:rsid w:val="00F45097"/>
    <w:rsid w:val="00F450F4"/>
    <w:rsid w:val="00F45C80"/>
    <w:rsid w:val="00F45F2E"/>
    <w:rsid w:val="00F46062"/>
    <w:rsid w:val="00F52840"/>
    <w:rsid w:val="00F56C5C"/>
    <w:rsid w:val="00F57B0D"/>
    <w:rsid w:val="00F60635"/>
    <w:rsid w:val="00F60844"/>
    <w:rsid w:val="00F6121B"/>
    <w:rsid w:val="00F6261B"/>
    <w:rsid w:val="00F62F04"/>
    <w:rsid w:val="00F63253"/>
    <w:rsid w:val="00F6516B"/>
    <w:rsid w:val="00F65C74"/>
    <w:rsid w:val="00F67339"/>
    <w:rsid w:val="00F70E5D"/>
    <w:rsid w:val="00F70FAD"/>
    <w:rsid w:val="00F723BB"/>
    <w:rsid w:val="00F72A1B"/>
    <w:rsid w:val="00F754C9"/>
    <w:rsid w:val="00F81F49"/>
    <w:rsid w:val="00F828CA"/>
    <w:rsid w:val="00F85BBB"/>
    <w:rsid w:val="00F8632A"/>
    <w:rsid w:val="00F86616"/>
    <w:rsid w:val="00F87DF5"/>
    <w:rsid w:val="00F933FD"/>
    <w:rsid w:val="00F93590"/>
    <w:rsid w:val="00F93AAA"/>
    <w:rsid w:val="00F93F73"/>
    <w:rsid w:val="00F95C10"/>
    <w:rsid w:val="00F96EAF"/>
    <w:rsid w:val="00F9737A"/>
    <w:rsid w:val="00FA4264"/>
    <w:rsid w:val="00FA5984"/>
    <w:rsid w:val="00FA5BC4"/>
    <w:rsid w:val="00FA5D98"/>
    <w:rsid w:val="00FB21AF"/>
    <w:rsid w:val="00FB29AE"/>
    <w:rsid w:val="00FB7684"/>
    <w:rsid w:val="00FC0E47"/>
    <w:rsid w:val="00FC0F98"/>
    <w:rsid w:val="00FC1154"/>
    <w:rsid w:val="00FC20AB"/>
    <w:rsid w:val="00FC43EB"/>
    <w:rsid w:val="00FC4986"/>
    <w:rsid w:val="00FC537A"/>
    <w:rsid w:val="00FC7E74"/>
    <w:rsid w:val="00FD0827"/>
    <w:rsid w:val="00FD35C6"/>
    <w:rsid w:val="00FD5023"/>
    <w:rsid w:val="00FE0EB7"/>
    <w:rsid w:val="00FE13C8"/>
    <w:rsid w:val="00FE34A9"/>
    <w:rsid w:val="00FE4E56"/>
    <w:rsid w:val="00FE613F"/>
    <w:rsid w:val="00FE6C87"/>
    <w:rsid w:val="00FE7402"/>
    <w:rsid w:val="00FE7E7F"/>
    <w:rsid w:val="00FF1115"/>
    <w:rsid w:val="00FF1F7A"/>
    <w:rsid w:val="00FF2970"/>
    <w:rsid w:val="00FF3174"/>
    <w:rsid w:val="00FF3BB4"/>
    <w:rsid w:val="00FF7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docId w15:val="{ABF41AB3-8804-42F5-A496-7D995BBB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546EAC"/>
  </w:style>
  <w:style w:type="paragraph" w:styleId="Notedebasdepage">
    <w:name w:val="footnote text"/>
    <w:basedOn w:val="Normal"/>
    <w:link w:val="NotedebasdepageCar"/>
    <w:uiPriority w:val="99"/>
    <w:unhideWhenUsed/>
    <w:rsid w:val="00546EAC"/>
    <w:pPr>
      <w:spacing w:after="0" w:line="240" w:lineRule="auto"/>
    </w:pPr>
    <w:rPr>
      <w:sz w:val="20"/>
      <w:szCs w:val="20"/>
    </w:rPr>
  </w:style>
  <w:style w:type="character" w:customStyle="1" w:styleId="NotedebasdepageCar">
    <w:name w:val="Note de bas de page Car"/>
    <w:basedOn w:val="Policepardfaut"/>
    <w:link w:val="Notedebasdepage"/>
    <w:uiPriority w:val="99"/>
    <w:rsid w:val="00546EAC"/>
    <w:rPr>
      <w:sz w:val="20"/>
      <w:szCs w:val="20"/>
    </w:rPr>
  </w:style>
  <w:style w:type="paragraph" w:styleId="En-tte">
    <w:name w:val="header"/>
    <w:basedOn w:val="Normal"/>
    <w:link w:val="En-tteCar"/>
    <w:uiPriority w:val="99"/>
    <w:unhideWhenUsed/>
    <w:rsid w:val="00D4618C"/>
    <w:pPr>
      <w:tabs>
        <w:tab w:val="center" w:pos="4680"/>
        <w:tab w:val="right" w:pos="9360"/>
      </w:tabs>
      <w:spacing w:after="0" w:line="240" w:lineRule="auto"/>
    </w:pPr>
  </w:style>
  <w:style w:type="character" w:customStyle="1" w:styleId="En-tteCar">
    <w:name w:val="En-tête Car"/>
    <w:basedOn w:val="Policepardfaut"/>
    <w:link w:val="En-tte"/>
    <w:uiPriority w:val="99"/>
    <w:rsid w:val="00D4618C"/>
  </w:style>
  <w:style w:type="paragraph" w:styleId="Pieddepage">
    <w:name w:val="footer"/>
    <w:basedOn w:val="Normal"/>
    <w:link w:val="PieddepageCar"/>
    <w:uiPriority w:val="99"/>
    <w:unhideWhenUsed/>
    <w:rsid w:val="00D461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618C"/>
  </w:style>
  <w:style w:type="paragraph" w:styleId="Textedebulles">
    <w:name w:val="Balloon Text"/>
    <w:basedOn w:val="Normal"/>
    <w:link w:val="TextedebullesCar"/>
    <w:uiPriority w:val="99"/>
    <w:semiHidden/>
    <w:unhideWhenUsed/>
    <w:rsid w:val="00584C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C5E"/>
    <w:rPr>
      <w:rFonts w:ascii="Segoe UI" w:hAnsi="Segoe UI" w:cs="Segoe UI"/>
      <w:sz w:val="18"/>
      <w:szCs w:val="18"/>
    </w:rPr>
  </w:style>
  <w:style w:type="paragraph" w:styleId="Paragraphedeliste">
    <w:name w:val="List Paragraph"/>
    <w:basedOn w:val="Normal"/>
    <w:uiPriority w:val="34"/>
    <w:qFormat/>
    <w:rsid w:val="00DA4ACC"/>
    <w:pPr>
      <w:ind w:left="720"/>
      <w:contextualSpacing/>
    </w:pPr>
  </w:style>
  <w:style w:type="character" w:styleId="Lienhypertexte">
    <w:name w:val="Hyperlink"/>
    <w:basedOn w:val="Policepardfaut"/>
    <w:uiPriority w:val="99"/>
    <w:unhideWhenUsed/>
    <w:rsid w:val="00D172A4"/>
    <w:rPr>
      <w:color w:val="0563C1" w:themeColor="hyperlink"/>
      <w:u w:val="single"/>
    </w:rPr>
  </w:style>
  <w:style w:type="character" w:customStyle="1" w:styleId="UnresolvedMention">
    <w:name w:val="Unresolved Mention"/>
    <w:basedOn w:val="Policepardfaut"/>
    <w:uiPriority w:val="99"/>
    <w:semiHidden/>
    <w:unhideWhenUsed/>
    <w:rsid w:val="00D17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chealthcoalition.ca/what-you-can-do/save-medicare/court-documents" TargetMode="External"/><Relationship Id="rId1" Type="http://schemas.openxmlformats.org/officeDocument/2006/relationships/hyperlink" Target="http://www.equalityrights.org/c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A04C-17E8-492B-A17B-B5D47DFB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10373</Words>
  <Characters>57874</Characters>
  <Application>Microsoft Office Word</Application>
  <DocSecurity>4</DocSecurity>
  <Lines>482</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Ottawa</Company>
  <LinksUpToDate>false</LinksUpToDate>
  <CharactersWithSpaces>68111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Jackman</dc:creator>
  <cp:lastModifiedBy>Martha Jackman</cp:lastModifiedBy>
  <cp:revision>2</cp:revision>
  <cp:lastPrinted>2018-08-15T18:25:00Z</cp:lastPrinted>
  <dcterms:created xsi:type="dcterms:W3CDTF">2018-11-16T16:55:00Z</dcterms:created>
  <dcterms:modified xsi:type="dcterms:W3CDTF">2018-11-16T16:55:00Z</dcterms:modified>
</cp:coreProperties>
</file>